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word/_rels/header2.xml.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5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7788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Anexa 5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widowControl/>
        <w:tabs>
          <w:tab w:val="left" w:pos="1418" w:leader="none"/>
        </w:tabs>
        <w:spacing w:lineRule="auto" w:line="240" w:before="0" w:after="0"/>
        <w:ind w:firstLine="709"/>
        <w:contextualSpacing/>
        <w:jc w:val="center"/>
        <w:rPr>
          <w:rStyle w:val="FontStyle30"/>
          <w:b/>
          <w:b/>
        </w:rPr>
      </w:pPr>
      <w:r>
        <w:rPr>
          <w:rStyle w:val="FontStyle30"/>
          <w:b/>
        </w:rPr>
        <w:t>STANDARDELE MINIMALE, NECESARE ȘI OBLIGATORII</w:t>
      </w:r>
    </w:p>
    <w:p>
      <w:pPr>
        <w:pStyle w:val="Style18"/>
        <w:widowControl/>
        <w:tabs>
          <w:tab w:val="left" w:pos="1418" w:leader="none"/>
        </w:tabs>
        <w:spacing w:lineRule="auto" w:line="240" w:before="0" w:after="0"/>
        <w:ind w:firstLine="709"/>
        <w:contextualSpacing/>
        <w:jc w:val="center"/>
        <w:rPr>
          <w:rStyle w:val="FontStyle30"/>
          <w:b/>
          <w:b/>
        </w:rPr>
      </w:pPr>
      <w:r>
        <w:rPr>
          <w:rStyle w:val="FontStyle30"/>
          <w:b/>
        </w:rPr>
        <w:t>PENTRU ÎNSCRIERE LA CONCURS</w:t>
      </w:r>
    </w:p>
    <w:p>
      <w:pPr>
        <w:pStyle w:val="Style18"/>
        <w:widowControl/>
        <w:tabs>
          <w:tab w:val="left" w:pos="1418" w:leader="none"/>
        </w:tabs>
        <w:spacing w:lineRule="auto" w:line="240" w:before="0" w:after="0"/>
        <w:ind w:firstLine="709"/>
        <w:contextualSpacing/>
        <w:jc w:val="center"/>
        <w:rPr>
          <w:rStyle w:val="FontStyle30"/>
          <w:b/>
          <w:b/>
        </w:rPr>
      </w:pPr>
      <w:r>
        <w:rPr>
          <w:rStyle w:val="FontStyle30"/>
          <w:b/>
          <w:u w:val="single"/>
        </w:rPr>
        <w:t xml:space="preserve">pentru ocuparea postului de Asistent Universitar, perioadă determinată, la disciplina Farmacologie, Farmacologie Clinică și Algeziologie </w:t>
      </w:r>
    </w:p>
    <w:p>
      <w:pPr>
        <w:pStyle w:val="Style18"/>
        <w:widowControl/>
        <w:tabs>
          <w:tab w:val="left" w:pos="1418" w:leader="none"/>
        </w:tabs>
        <w:spacing w:lineRule="auto" w:line="240" w:before="0" w:after="0"/>
        <w:contextualSpacing/>
        <w:rPr>
          <w:rStyle w:val="FontStyle30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/>
        <w:outlineLvl w:val="0"/>
        <w:rPr>
          <w:rFonts w:ascii="Times New Roman" w:hAnsi="Times New Roman" w:cs="Times New Roman"/>
          <w:sz w:val="22"/>
          <w:lang w:val="pt-BR"/>
        </w:rPr>
      </w:pPr>
      <w:r>
        <w:rPr>
          <w:rFonts w:cs="Times New Roman" w:ascii="Times New Roman" w:hAnsi="Times New Roman"/>
          <w:sz w:val="22"/>
          <w:lang w:val="pt-BR"/>
        </w:rPr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outlineLvl w:val="0"/>
        <w:rPr>
          <w:rFonts w:ascii="Times New Roman" w:hAnsi="Times New Roman" w:cs="Times New Roman"/>
          <w:sz w:val="22"/>
          <w:vertAlign w:val="superscript"/>
          <w:lang w:val="pt-BR"/>
        </w:rPr>
      </w:pPr>
      <w:r>
        <w:rPr>
          <w:rFonts w:cs="Times New Roman" w:ascii="Times New Roman" w:hAnsi="Times New Roman"/>
          <w:sz w:val="22"/>
          <w:lang w:val="pt-BR"/>
        </w:rPr>
        <w:t>Deținerea calității de student-doctorand (adeverința de la Școala Doctorală, ce va cuprinde și menționarea domeniului studiilor doctorale, obligatoriu din domeniul postului);</w:t>
      </w:r>
    </w:p>
    <w:p>
      <w:pPr>
        <w:pStyle w:val="Normal"/>
        <w:numPr>
          <w:ilvl w:val="0"/>
          <w:numId w:val="0"/>
        </w:numPr>
        <w:spacing w:lineRule="auto" w:line="240"/>
        <w:ind w:left="360" w:hanging="0"/>
        <w:jc w:val="both"/>
        <w:outlineLvl w:val="0"/>
        <w:rPr>
          <w:rFonts w:ascii="Times New Roman" w:hAnsi="Times New Roman" w:cs="Times New Roman"/>
          <w:b/>
          <w:b/>
          <w:color w:val="FF0000"/>
          <w:sz w:val="22"/>
          <w:lang w:val="pt-BR"/>
        </w:rPr>
      </w:pPr>
      <w:r>
        <w:rPr>
          <w:rFonts w:cs="Times New Roman" w:ascii="Times New Roman" w:hAnsi="Times New Roman"/>
          <w:b/>
          <w:color w:val="FF0000"/>
          <w:sz w:val="22"/>
          <w:highlight w:val="yellow"/>
          <w:lang w:val="pt-BR"/>
        </w:rPr>
        <w:t>Standard îndeplinit</w:t>
      </w:r>
      <w:r>
        <w:rPr>
          <w:rFonts w:cs="Times New Roman" w:ascii="Times New Roman" w:hAnsi="Times New Roman"/>
          <w:b/>
          <w:color w:val="FF0000"/>
          <w:sz w:val="22"/>
          <w:lang w:val="pt-BR"/>
        </w:rPr>
        <w:t>: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jc w:val="both"/>
        <w:outlineLvl w:val="0"/>
        <w:rPr>
          <w:rFonts w:ascii="Times New Roman" w:hAnsi="Times New Roman" w:cs="Times New Roman"/>
          <w:b/>
          <w:b/>
          <w:sz w:val="22"/>
          <w:lang w:val="pt-BR"/>
        </w:rPr>
      </w:pPr>
      <w:r>
        <w:rPr>
          <w:rFonts w:cs="Times New Roman" w:ascii="Times New Roman" w:hAnsi="Times New Roman"/>
          <w:b/>
          <w:sz w:val="22"/>
          <w:lang w:val="pt-BR"/>
        </w:rPr>
        <w:t xml:space="preserve">Student doctorand an I în regim  cu frecvență cu bursă admis în sesiunea septembrie 2018,  coordonator științific Prof. Dr. Cristina Mihaela Ghiciuc; 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jc w:val="both"/>
        <w:outlineLvl w:val="0"/>
        <w:rPr>
          <w:rFonts w:ascii="Times New Roman" w:hAnsi="Times New Roman" w:cs="Times New Roman"/>
          <w:b/>
          <w:b/>
          <w:sz w:val="22"/>
          <w:lang w:val="pt-BR"/>
        </w:rPr>
      </w:pPr>
      <w:r>
        <w:rPr>
          <w:rFonts w:cs="Times New Roman" w:ascii="Times New Roman" w:hAnsi="Times New Roman"/>
          <w:b/>
          <w:sz w:val="22"/>
          <w:lang w:val="pt-BR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jc w:val="both"/>
        <w:outlineLvl w:val="0"/>
        <w:rPr>
          <w:rFonts w:ascii="Times New Roman" w:hAnsi="Times New Roman" w:cs="Times New Roman"/>
          <w:b/>
          <w:b/>
          <w:sz w:val="22"/>
          <w:lang w:val="pt-BR"/>
        </w:rPr>
      </w:pPr>
      <w:r>
        <w:rPr>
          <w:rFonts w:cs="Times New Roman" w:ascii="Times New Roman" w:hAnsi="Times New Roman"/>
          <w:b/>
          <w:sz w:val="22"/>
          <w:lang w:val="pt-BR"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outlineLvl w:val="0"/>
        <w:rPr>
          <w:rFonts w:ascii="Times New Roman" w:hAnsi="Times New Roman" w:cs="Times New Roman"/>
          <w:sz w:val="22"/>
          <w:lang w:val="fr-FR"/>
        </w:rPr>
      </w:pPr>
      <w:r>
        <w:rPr>
          <w:rFonts w:cs="Times New Roman" w:ascii="Times New Roman" w:hAnsi="Times New Roman"/>
          <w:sz w:val="22"/>
          <w:lang w:val="fr-FR"/>
        </w:rPr>
        <w:t xml:space="preserve">Deținerea titlului de medic rezident sau a unui titlu medical superior la disciplinele de concurs cu corespondent în  Rețeaua Sanitară, în specialitatea postului; </w:t>
      </w:r>
    </w:p>
    <w:p>
      <w:pPr>
        <w:pStyle w:val="Normal"/>
        <w:numPr>
          <w:ilvl w:val="0"/>
          <w:numId w:val="0"/>
        </w:numPr>
        <w:spacing w:lineRule="auto" w:line="240"/>
        <w:ind w:left="360" w:hanging="0"/>
        <w:jc w:val="both"/>
        <w:outlineLvl w:val="0"/>
        <w:rPr>
          <w:rFonts w:ascii="Times New Roman" w:hAnsi="Times New Roman" w:cs="Times New Roman"/>
          <w:b/>
          <w:b/>
          <w:color w:val="FF0000"/>
          <w:sz w:val="22"/>
          <w:lang w:val="pt-BR"/>
        </w:rPr>
      </w:pPr>
      <w:r>
        <w:rPr>
          <w:rFonts w:cs="Times New Roman" w:ascii="Times New Roman" w:hAnsi="Times New Roman"/>
          <w:b/>
          <w:color w:val="FF0000"/>
          <w:sz w:val="22"/>
          <w:highlight w:val="yellow"/>
          <w:lang w:val="pt-BR"/>
        </w:rPr>
        <w:t>Standard îndeplinit</w:t>
      </w:r>
      <w:r>
        <w:rPr>
          <w:rFonts w:cs="Times New Roman" w:ascii="Times New Roman" w:hAnsi="Times New Roman"/>
          <w:b/>
          <w:color w:val="FF0000"/>
          <w:sz w:val="22"/>
          <w:lang w:val="pt-BR"/>
        </w:rPr>
        <w:t>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outlineLvl w:val="0"/>
        <w:rPr/>
      </w:pPr>
      <w:r>
        <w:rPr>
          <w:rFonts w:cs="Times New Roman" w:ascii="Times New Roman" w:hAnsi="Times New Roman"/>
          <w:b/>
          <w:sz w:val="22"/>
          <w:lang w:val="fr-FR"/>
        </w:rPr>
        <w:t>Medic rezident, specialitatea farmacologie clinică, confirmat prin ordinul Ministrului Sănătății nr. 1475/08.12.2014;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outlineLvl w:val="0"/>
        <w:rPr>
          <w:rFonts w:ascii="Times New Roman" w:hAnsi="Times New Roman" w:cs="Times New Roman"/>
          <w:b/>
          <w:b/>
          <w:sz w:val="22"/>
          <w:lang w:val="fr-FR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b/>
          <w:sz w:val="22"/>
          <w:lang w:val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outlineLvl w:val="0"/>
        <w:rPr>
          <w:rFonts w:ascii="Times New Roman" w:hAnsi="Times New Roman" w:cs="Times New Roman"/>
          <w:b/>
          <w:b/>
          <w:sz w:val="22"/>
          <w:lang w:val="fr-FR"/>
        </w:rPr>
      </w:pPr>
      <w:r>
        <w:rPr>
          <w:rFonts w:cs="Times New Roman" w:ascii="Times New Roman" w:hAnsi="Times New Roman"/>
          <w:b/>
          <w:sz w:val="22"/>
          <w:lang w:val="fr-FR"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outlineLvl w:val="0"/>
        <w:rPr>
          <w:rFonts w:ascii="Times New Roman" w:hAnsi="Times New Roman" w:cs="Times New Roman"/>
          <w:sz w:val="22"/>
          <w:lang w:val="fr-FR"/>
        </w:rPr>
      </w:pPr>
      <w:r>
        <w:rPr>
          <w:rFonts w:cs="Times New Roman" w:ascii="Times New Roman" w:hAnsi="Times New Roman"/>
          <w:sz w:val="22"/>
        </w:rPr>
        <w:t xml:space="preserve">Minimum 2 lucrări BDI, în extenso </w:t>
      </w:r>
      <w:r>
        <w:rPr>
          <w:rFonts w:cs="Times New Roman" w:ascii="Times New Roman" w:hAnsi="Times New Roman"/>
          <w:sz w:val="22"/>
          <w:lang w:val="fr-FR"/>
        </w:rPr>
        <w:t xml:space="preserve">în reviste din domeniul postului pentru care candidează </w:t>
      </w:r>
      <w:r>
        <w:rPr>
          <w:rStyle w:val="FontStyle30"/>
        </w:rPr>
        <w:t>(medicină, medicină dentară, farmacie sau alte domenii, în conformitate cu postul scos la concurs)</w:t>
      </w:r>
      <w:r>
        <w:rPr>
          <w:rFonts w:cs="Times New Roman" w:ascii="Times New Roman" w:hAnsi="Times New Roman"/>
          <w:sz w:val="22"/>
        </w:rPr>
        <w:t xml:space="preserve">, publicate în ultimii 5 ani, ca autor principal sau co-autor. </w:t>
      </w:r>
    </w:p>
    <w:p>
      <w:pPr>
        <w:pStyle w:val="ListParagraph"/>
        <w:spacing w:lineRule="auto" w:line="240"/>
        <w:jc w:val="both"/>
        <w:rPr>
          <w:rFonts w:ascii="Times New Roman" w:hAnsi="Times New Roman" w:cs="Times New Roman"/>
          <w:sz w:val="22"/>
          <w:lang w:val="fr-FR"/>
        </w:rPr>
      </w:pPr>
      <w:r>
        <w:rPr>
          <w:rFonts w:cs="Times New Roman" w:ascii="Times New Roman" w:hAnsi="Times New Roman"/>
          <w:sz w:val="22"/>
          <w:lang w:val="fr-FR"/>
        </w:rPr>
        <w:t>Revistă indexată BDI</w:t>
      </w:r>
      <w:r>
        <w:rPr>
          <w:rStyle w:val="FootnoteAnchor"/>
          <w:rFonts w:cs="Times New Roman" w:ascii="Times New Roman" w:hAnsi="Times New Roman"/>
          <w:sz w:val="22"/>
          <w:lang w:val="fr-FR"/>
        </w:rPr>
        <w:footnoteReference w:id="2"/>
      </w:r>
    </w:p>
    <w:p>
      <w:pPr>
        <w:pStyle w:val="Normal"/>
        <w:numPr>
          <w:ilvl w:val="0"/>
          <w:numId w:val="0"/>
        </w:numPr>
        <w:spacing w:lineRule="auto" w:line="240"/>
        <w:ind w:left="360" w:hanging="0"/>
        <w:jc w:val="both"/>
        <w:outlineLvl w:val="0"/>
        <w:rPr>
          <w:rFonts w:ascii="Times New Roman" w:hAnsi="Times New Roman" w:cs="Times New Roman"/>
          <w:b/>
          <w:b/>
          <w:color w:val="FF0000"/>
          <w:sz w:val="22"/>
          <w:lang w:val="pt-BR"/>
        </w:rPr>
      </w:pPr>
      <w:r>
        <w:rPr>
          <w:rFonts w:cs="Times New Roman" w:ascii="Times New Roman" w:hAnsi="Times New Roman"/>
          <w:b/>
          <w:color w:val="FF0000"/>
          <w:sz w:val="22"/>
          <w:highlight w:val="yellow"/>
          <w:lang w:val="pt-BR"/>
        </w:rPr>
        <w:t>Standard îndeplinit</w:t>
      </w:r>
      <w:r>
        <w:rPr>
          <w:rFonts w:cs="Times New Roman" w:ascii="Times New Roman" w:hAnsi="Times New Roman"/>
          <w:b/>
          <w:color w:val="FF0000"/>
          <w:sz w:val="22"/>
          <w:lang w:val="pt-BR"/>
        </w:rPr>
        <w:t>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 xml:space="preserve">                    </w:t>
      </w:r>
      <w:r>
        <w:rPr>
          <w:rFonts w:cs="Times New Roman" w:ascii="Times New Roman" w:hAnsi="Times New Roman"/>
          <w:b/>
          <w:sz w:val="22"/>
        </w:rPr>
        <w:t>1 lucrare în reviste cotate ISI în calitate de co-autor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4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Mihaela Dumea, Diana Carmen Cimpoeșu, </w:t>
      </w:r>
      <w:r>
        <w:rPr>
          <w:rFonts w:cs="Times New Roman" w:ascii="Times New Roman" w:hAnsi="Times New Roman"/>
          <w:b/>
          <w:sz w:val="22"/>
        </w:rPr>
        <w:t>Diana Cezarina Petrescu,</w:t>
      </w:r>
      <w:r>
        <w:rPr>
          <w:rFonts w:cs="Times New Roman" w:ascii="Times New Roman" w:hAnsi="Times New Roman"/>
          <w:sz w:val="22"/>
        </w:rPr>
        <w:t xml:space="preserve"> Cristina Galeș, Mihai Nechifor. Serum concentration levels of magnesium, copper, and zinc in patients with post-viral liver cirrhosis. </w:t>
      </w:r>
      <w:r>
        <w:rPr>
          <w:rFonts w:cs="Times New Roman" w:ascii="Times New Roman" w:hAnsi="Times New Roman"/>
          <w:i/>
          <w:sz w:val="22"/>
        </w:rPr>
        <w:t>Trace Elements and Electrolytes.</w:t>
      </w:r>
      <w:r>
        <w:rPr>
          <w:rFonts w:cs="Times New Roman" w:ascii="Times New Roman" w:hAnsi="Times New Roman"/>
          <w:sz w:val="22"/>
        </w:rPr>
        <w:t xml:space="preserve"> 2018, 35:67-72.</w:t>
      </w:r>
    </w:p>
    <w:p>
      <w:pPr>
        <w:pStyle w:val="Normal"/>
        <w:spacing w:lineRule="auto" w:line="240"/>
        <w:ind w:left="1080" w:hanging="0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eastAsia="Calibri" w:cs="Times New Roman" w:ascii="Times New Roman" w:hAnsi="Times New Roman"/>
          <w:color w:val="FF0000"/>
        </w:rPr>
        <w:t xml:space="preserve">link către revistă: </w:t>
      </w:r>
      <w:r>
        <w:rPr>
          <w:rFonts w:eastAsia="Calibri" w:cs="Times New Roman" w:ascii="Times New Roman" w:hAnsi="Times New Roman"/>
          <w:szCs w:val="20"/>
        </w:rPr>
        <w:t>https://www.dustri.com/nc/article-response-page.html?artId=16527&amp;doi=10.5414%2FTEX01449</w:t>
      </w:r>
    </w:p>
    <w:p>
      <w:pPr>
        <w:pStyle w:val="Normal"/>
        <w:spacing w:lineRule="auto" w:line="240"/>
        <w:ind w:left="1080" w:hanging="0"/>
        <w:jc w:val="both"/>
        <w:rPr>
          <w:rFonts w:ascii="Times New Roman" w:hAnsi="Times New Roman" w:cs="Times New Roman"/>
          <w:bCs/>
        </w:rPr>
      </w:pPr>
      <w:r>
        <w:rPr>
          <w:rFonts w:eastAsia="Calibri" w:cs="Times New Roman" w:ascii="Times New Roman" w:hAnsi="Times New Roman"/>
          <w:color w:val="FF0000"/>
        </w:rPr>
        <w:t>baze de date:</w:t>
      </w:r>
      <w:r>
        <w:rPr>
          <w:rFonts w:cs="Times New Roman" w:ascii="Times New Roman" w:hAnsi="Times New Roman"/>
          <w:b/>
        </w:rPr>
        <w:t xml:space="preserve"> Clarivate Analytics - </w:t>
      </w:r>
      <w:r>
        <w:rPr>
          <w:rFonts w:cs="Times New Roman" w:ascii="Times New Roman" w:hAnsi="Times New Roman"/>
          <w:bCs/>
        </w:rPr>
        <w:t xml:space="preserve">Web of Science Core Collection </w:t>
      </w:r>
    </w:p>
    <w:p>
      <w:pPr>
        <w:pStyle w:val="Normal"/>
        <w:spacing w:lineRule="auto" w:line="240"/>
        <w:ind w:left="1080" w:hanging="0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eastAsia="Calibri" w:cs="Times New Roman" w:ascii="Times New Roman" w:hAnsi="Times New Roman"/>
          <w:szCs w:val="20"/>
        </w:rPr>
        <w:t xml:space="preserve">http://apps.webofknowledge.com.dbproxy.umfiasi.ro/full_record.do?product=WOS&amp;search_mode=GeneralSearch&amp;qid=3&amp;SID=D2dqWRsrmAJiilumHMs&amp;page=1&amp;doc=1 </w:t>
      </w:r>
    </w:p>
    <w:p>
      <w:pPr>
        <w:pStyle w:val="Normal"/>
        <w:spacing w:lineRule="auto" w:line="240"/>
        <w:ind w:left="720" w:hanging="0"/>
        <w:jc w:val="both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spacing w:lineRule="auto" w:line="240"/>
        <w:ind w:left="720" w:hanging="0"/>
        <w:jc w:val="both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spacing w:lineRule="auto" w:line="240"/>
        <w:ind w:left="720" w:hanging="0"/>
        <w:jc w:val="both"/>
        <w:rPr/>
      </w:pPr>
      <w:r>
        <w:rPr>
          <w:rFonts w:cs="Times New Roman" w:ascii="Times New Roman" w:hAnsi="Times New Roman"/>
          <w:b/>
          <w:sz w:val="22"/>
          <w:lang w:val="fr-FR"/>
        </w:rPr>
        <w:t>2</w:t>
      </w:r>
      <w:r>
        <w:rPr>
          <w:rFonts w:cs="Times New Roman" w:ascii="Times New Roman" w:hAnsi="Times New Roman"/>
          <w:b/>
          <w:sz w:val="22"/>
          <w:lang w:val="fr-FR"/>
        </w:rPr>
        <w:t xml:space="preserve"> lucr</w:t>
      </w:r>
      <w:r>
        <w:rPr>
          <w:rFonts w:cs="Times New Roman" w:ascii="Times New Roman" w:hAnsi="Times New Roman"/>
          <w:b/>
          <w:sz w:val="22"/>
          <w:lang w:val="fr-FR"/>
        </w:rPr>
        <w:t>ări</w:t>
      </w:r>
      <w:r>
        <w:rPr>
          <w:rFonts w:cs="Times New Roman" w:ascii="Times New Roman" w:hAnsi="Times New Roman"/>
          <w:b/>
          <w:sz w:val="22"/>
          <w:lang w:val="fr-FR"/>
        </w:rPr>
        <w:t xml:space="preserve"> cotat</w:t>
      </w:r>
      <w:r>
        <w:rPr>
          <w:rFonts w:cs="Times New Roman" w:ascii="Times New Roman" w:hAnsi="Times New Roman"/>
          <w:b/>
          <w:sz w:val="22"/>
          <w:lang w:val="fr-FR"/>
        </w:rPr>
        <w:t>e</w:t>
      </w:r>
      <w:r>
        <w:rPr>
          <w:rFonts w:cs="Times New Roman" w:ascii="Times New Roman" w:hAnsi="Times New Roman"/>
          <w:b/>
          <w:sz w:val="22"/>
          <w:lang w:val="fr-FR"/>
        </w:rPr>
        <w:t xml:space="preserve"> BDI in calitate de prim-autor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 w:eastAsia="Calibri" w:cs="Times New Roman"/>
          <w:sz w:val="22"/>
        </w:rPr>
      </w:pPr>
      <w:r>
        <w:rPr>
          <w:rFonts w:eastAsia="Calibri" w:cs="Times New Roman" w:ascii="Times New Roman" w:hAnsi="Times New Roman"/>
          <w:b/>
          <w:sz w:val="22"/>
        </w:rPr>
        <w:t>Diana-Cezarina Petrescu</w:t>
      </w:r>
      <w:r>
        <w:rPr>
          <w:rFonts w:eastAsia="Calibri" w:cs="Times New Roman" w:ascii="Times New Roman" w:hAnsi="Times New Roman"/>
          <w:sz w:val="22"/>
        </w:rPr>
        <w:t>, Cristina Mihaela Ghiciuc, Catalina Elena Lupu</w:t>
      </w:r>
      <w:r>
        <w:rPr>
          <w:rFonts w:cs="Times New Roman" w:ascii="Times New Roman" w:hAnsi="Times New Roman"/>
          <w:sz w:val="22"/>
        </w:rPr>
        <w:t>şoru, Cristina Galeş, Mihai Nchifor</w:t>
      </w:r>
      <w:r>
        <w:rPr>
          <w:rFonts w:eastAsia="Calibri" w:cs="Times New Roman" w:ascii="Times New Roman" w:hAnsi="Times New Roman"/>
          <w:sz w:val="22"/>
        </w:rPr>
        <w:t xml:space="preserve">. Animal models of  osteoporosis: critical considerations. </w:t>
      </w:r>
      <w:r>
        <w:rPr>
          <w:rFonts w:eastAsia="Calibri" w:cs="Times New Roman" w:ascii="Times New Roman" w:hAnsi="Times New Roman"/>
          <w:i/>
          <w:sz w:val="22"/>
        </w:rPr>
        <w:t>Rev. Med. Chir. Soc. Med. Nat</w:t>
      </w:r>
      <w:r>
        <w:rPr>
          <w:rFonts w:eastAsia="Calibri" w:cs="Times New Roman" w:ascii="Times New Roman" w:hAnsi="Times New Roman"/>
          <w:sz w:val="22"/>
        </w:rPr>
        <w:t>. 2015, 119(3): 757-761.</w:t>
      </w:r>
    </w:p>
    <w:p>
      <w:pPr>
        <w:pStyle w:val="Normal"/>
        <w:spacing w:lineRule="auto" w:line="240"/>
        <w:ind w:left="1080" w:hanging="0"/>
        <w:jc w:val="both"/>
        <w:rPr/>
      </w:pPr>
      <w:r>
        <w:rPr>
          <w:rFonts w:eastAsia="Calibri" w:cs="Times New Roman" w:ascii="Times New Roman" w:hAnsi="Times New Roman"/>
          <w:color w:val="FF0000"/>
          <w:szCs w:val="20"/>
        </w:rPr>
        <w:t>link către revistă:</w:t>
      </w:r>
      <w:r>
        <w:rPr>
          <w:rFonts w:eastAsia="Calibri" w:cs="Times New Roman" w:ascii="Times New Roman" w:hAnsi="Times New Roman"/>
          <w:szCs w:val="20"/>
        </w:rPr>
        <w:t xml:space="preserve"> </w:t>
      </w:r>
      <w:hyperlink r:id="rId2">
        <w:r>
          <w:rPr>
            <w:rStyle w:val="InternetLink"/>
            <w:rFonts w:eastAsia="Calibri" w:cs="Times New Roman" w:ascii="Times New Roman" w:hAnsi="Times New Roman"/>
            <w:szCs w:val="20"/>
          </w:rPr>
          <w:t>https://www.revmedchir.ro/index.php/revmedchir/article/view/389/344</w:t>
        </w:r>
      </w:hyperlink>
    </w:p>
    <w:p>
      <w:pPr>
        <w:pStyle w:val="Normal"/>
        <w:spacing w:lineRule="auto" w:line="240"/>
        <w:ind w:left="1080" w:hanging="0"/>
        <w:jc w:val="both"/>
        <w:rPr/>
      </w:pPr>
      <w:r>
        <w:rPr>
          <w:rFonts w:eastAsia="Calibri" w:cs="Times New Roman" w:ascii="Times New Roman" w:hAnsi="Times New Roman"/>
          <w:color w:val="FF0000"/>
        </w:rPr>
        <w:t>baze de date:</w:t>
      </w:r>
      <w:r>
        <w:rPr>
          <w:rFonts w:cs="Times New Roman" w:ascii="Times New Roman" w:hAnsi="Times New Roman"/>
          <w:b/>
        </w:rPr>
        <w:t xml:space="preserve"> Clarivate Analytics - </w:t>
      </w:r>
      <w:r>
        <w:rPr>
          <w:rFonts w:cs="Times New Roman" w:ascii="Times New Roman" w:hAnsi="Times New Roman"/>
          <w:bCs/>
        </w:rPr>
        <w:t>Web of Science Core Collection (</w:t>
      </w:r>
      <w:r>
        <w:rPr>
          <w:rFonts w:eastAsia="Calibri" w:cs="Times New Roman" w:ascii="Times New Roman" w:hAnsi="Times New Roman"/>
          <w:szCs w:val="20"/>
        </w:rPr>
        <w:t xml:space="preserve">http://apps.webofknowledge.com.dbproxy.umfiasi.ro/full_record.do?product=WOS&amp;search_mode=GeneralSearch&amp;qid=3&amp;SID=D2dqWRsrmAJiilumHMs&amp;excludeEventConfig=ExcludeIfFromFullRecPage&amp;page=1&amp;doc=5) </w:t>
      </w:r>
    </w:p>
    <w:p>
      <w:pPr>
        <w:pStyle w:val="Normal"/>
        <w:spacing w:lineRule="auto" w:line="240"/>
        <w:ind w:left="1080" w:hanging="0"/>
        <w:jc w:val="both"/>
        <w:rPr>
          <w:rFonts w:ascii="Times New Roman" w:hAnsi="Times New Roman" w:eastAsia="Calibri" w:cs="Times New Roman"/>
          <w:szCs w:val="20"/>
        </w:rPr>
      </w:pPr>
      <w:r>
        <w:rPr/>
      </w:r>
    </w:p>
    <w:p>
      <w:pPr>
        <w:pStyle w:val="ListParagraph"/>
        <w:suppressAutoHyphens w:val="true"/>
        <w:spacing w:lineRule="auto" w:line="240"/>
        <w:jc w:val="both"/>
        <w:rPr/>
      </w:pPr>
      <w:r>
        <w:rPr>
          <w:rFonts w:cs="Times New Roman" w:ascii="Times New Roman" w:hAnsi="Times New Roman"/>
          <w:sz w:val="22"/>
        </w:rPr>
        <w:t xml:space="preserve">2.  </w:t>
      </w:r>
      <w:r>
        <w:rPr>
          <w:rFonts w:cs="Times New Roman" w:ascii="Times New Roman" w:hAnsi="Times New Roman"/>
          <w:sz w:val="22"/>
        </w:rPr>
        <w:t xml:space="preserve">Mihai Nechifor, Cristina Galeş, </w:t>
      </w:r>
      <w:r>
        <w:rPr>
          <w:rFonts w:cs="Times New Roman" w:ascii="Times New Roman" w:hAnsi="Times New Roman"/>
          <w:b/>
          <w:sz w:val="22"/>
        </w:rPr>
        <w:t>Petrescu Diana</w:t>
      </w:r>
      <w:r>
        <w:rPr>
          <w:rFonts w:cs="Times New Roman" w:ascii="Times New Roman" w:hAnsi="Times New Roman"/>
          <w:sz w:val="22"/>
        </w:rPr>
        <w:t xml:space="preserve">. Leukotriens and pain-new therapeutic perspectives. </w:t>
      </w:r>
      <w:r>
        <w:rPr>
          <w:rFonts w:cs="Times New Roman" w:ascii="Times New Roman" w:hAnsi="Times New Roman"/>
          <w:i/>
          <w:sz w:val="22"/>
        </w:rPr>
        <w:t>Fiziologia-Physiology</w:t>
      </w:r>
      <w:r>
        <w:rPr>
          <w:rFonts w:cs="Times New Roman" w:ascii="Times New Roman" w:hAnsi="Times New Roman"/>
          <w:sz w:val="22"/>
        </w:rPr>
        <w:t xml:space="preserve"> 2014; 4: 24-29. </w:t>
      </w:r>
    </w:p>
    <w:p>
      <w:pPr>
        <w:pStyle w:val="ListParagraph"/>
        <w:suppressAutoHyphens w:val="true"/>
        <w:spacing w:lineRule="auto" w:line="240"/>
        <w:ind w:left="1080" w:hanging="0"/>
        <w:jc w:val="both"/>
        <w:rPr/>
      </w:pPr>
      <w:r>
        <w:rPr>
          <w:rFonts w:eastAsia="Calibri" w:cs="Times New Roman" w:ascii="Times New Roman" w:hAnsi="Times New Roman"/>
          <w:color w:val="FF0000"/>
        </w:rPr>
        <w:t xml:space="preserve">link către revistă: </w:t>
      </w:r>
      <w:hyperlink r:id="rId3">
        <w:r>
          <w:rPr>
            <w:rStyle w:val="InternetLink"/>
            <w:rFonts w:eastAsia="Calibri" w:cs="Times New Roman" w:ascii="Times New Roman" w:hAnsi="Times New Roman"/>
            <w:szCs w:val="20"/>
          </w:rPr>
          <w:t>http://revista_fiziologia.umft.ro/archives/fiziologia2014_4.pdf</w:t>
        </w:r>
      </w:hyperlink>
    </w:p>
    <w:p>
      <w:pPr>
        <w:pStyle w:val="ListParagraph"/>
        <w:suppressAutoHyphens w:val="true"/>
        <w:spacing w:lineRule="auto" w:line="240"/>
        <w:ind w:left="1080" w:hanging="0"/>
        <w:jc w:val="both"/>
        <w:rPr/>
      </w:pPr>
      <w:r>
        <w:rPr>
          <w:rFonts w:eastAsia="Calibri" w:cs="Times New Roman" w:ascii="Times New Roman" w:hAnsi="Times New Roman"/>
          <w:color w:val="FF0000"/>
          <w:szCs w:val="20"/>
        </w:rPr>
        <w:t>baze de date:</w:t>
      </w:r>
      <w:r>
        <w:rPr>
          <w:rFonts w:eastAsia="Calibri" w:cs="Times New Roman" w:ascii="Times New Roman" w:hAnsi="Times New Roman"/>
          <w:b/>
          <w:szCs w:val="20"/>
        </w:rPr>
        <w:t xml:space="preserve"> EBSCO </w:t>
      </w:r>
      <w:r>
        <w:rPr>
          <w:rFonts w:eastAsia="Calibri" w:cs="Times New Roman" w:ascii="Times New Roman" w:hAnsi="Times New Roman"/>
          <w:szCs w:val="20"/>
        </w:rPr>
        <w:t>(http://eds.b.ebscohost.com/eds/pdfviewer/pdfviewer?vid=0&amp;sid=a4895772-ce04-4edb-92b2-491d4e936bef%40sessionmgr120)</w:t>
      </w:r>
    </w:p>
    <w:p>
      <w:pPr>
        <w:pStyle w:val="Normal"/>
        <w:spacing w:lineRule="auto" w:line="240"/>
        <w:ind w:left="1080" w:hanging="0"/>
        <w:jc w:val="both"/>
        <w:rPr>
          <w:rFonts w:ascii="Times New Roman" w:hAnsi="Times New Roman" w:eastAsia="Calibri" w:cs="Times New Roman"/>
          <w:b/>
          <w:b/>
          <w:sz w:val="22"/>
        </w:rPr>
      </w:pPr>
      <w:r>
        <w:rPr>
          <w:rFonts w:eastAsia="Calibri" w:cs="Times New Roman" w:ascii="Times New Roman" w:hAnsi="Times New Roman"/>
          <w:b/>
          <w:sz w:val="22"/>
        </w:rPr>
      </w:r>
    </w:p>
    <w:p>
      <w:pPr>
        <w:pStyle w:val="Normal"/>
        <w:spacing w:lineRule="auto" w:line="240"/>
        <w:ind w:left="1080" w:hanging="0"/>
        <w:jc w:val="both"/>
        <w:rPr>
          <w:rFonts w:ascii="Times New Roman" w:hAnsi="Times New Roman" w:eastAsia="Calibri" w:cs="Times New Roman"/>
          <w:b/>
          <w:b/>
          <w:sz w:val="22"/>
        </w:rPr>
      </w:pPr>
      <w:r>
        <w:rPr>
          <w:rFonts w:eastAsia="Calibri" w:cs="Times New Roman" w:ascii="Times New Roman" w:hAnsi="Times New Roman"/>
          <w:b/>
          <w:sz w:val="22"/>
        </w:rPr>
      </w:r>
    </w:p>
    <w:p>
      <w:pPr>
        <w:pStyle w:val="Normal"/>
        <w:spacing w:lineRule="auto" w:line="240"/>
        <w:ind w:left="720" w:hanging="0"/>
        <w:jc w:val="both"/>
        <w:rPr/>
      </w:pPr>
      <w:r>
        <w:rPr>
          <w:rFonts w:eastAsia="Calibri" w:cs="Times New Roman" w:ascii="Times New Roman" w:hAnsi="Times New Roman"/>
          <w:b/>
          <w:sz w:val="22"/>
        </w:rPr>
        <w:t>2</w:t>
      </w:r>
      <w:r>
        <w:rPr>
          <w:rFonts w:eastAsia="Calibri" w:cs="Times New Roman" w:ascii="Times New Roman" w:hAnsi="Times New Roman"/>
          <w:b/>
          <w:sz w:val="22"/>
        </w:rPr>
        <w:t xml:space="preserve"> lucrări cotate BDI în calitate de co-autor</w:t>
      </w:r>
    </w:p>
    <w:p>
      <w:pPr>
        <w:pStyle w:val="ListParagraph"/>
        <w:numPr>
          <w:ilvl w:val="0"/>
          <w:numId w:val="4"/>
        </w:numPr>
        <w:spacing w:lineRule="auto" w:line="24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G. Topor, </w:t>
      </w:r>
      <w:r>
        <w:rPr>
          <w:rFonts w:cs="Times New Roman" w:ascii="Times New Roman" w:hAnsi="Times New Roman"/>
          <w:b/>
          <w:sz w:val="22"/>
        </w:rPr>
        <w:t>Diana Petrescu</w:t>
      </w:r>
      <w:r>
        <w:rPr>
          <w:rFonts w:cs="Times New Roman" w:ascii="Times New Roman" w:hAnsi="Times New Roman"/>
          <w:sz w:val="22"/>
        </w:rPr>
        <w:t xml:space="preserve">, Lisandra Damian, Cristina Mihaela Ghiciuc, Cătălina Elena Lupușoru. Prevalence of self-medication with antimicrobial drugs in the southeast region of Romania. </w:t>
      </w:r>
      <w:r>
        <w:rPr>
          <w:rFonts w:eastAsia="Calibri" w:cs="Times New Roman" w:ascii="Times New Roman" w:hAnsi="Times New Roman"/>
          <w:i/>
          <w:sz w:val="22"/>
        </w:rPr>
        <w:t>Rev. Med. Chir. Soc. Med. Nat</w:t>
      </w:r>
      <w:r>
        <w:rPr>
          <w:rFonts w:cs="Times New Roman" w:ascii="Times New Roman" w:hAnsi="Times New Roman"/>
          <w:sz w:val="22"/>
        </w:rPr>
        <w:t xml:space="preserve"> 2017; 121(2): 391-394.</w:t>
      </w:r>
    </w:p>
    <w:p>
      <w:pPr>
        <w:pStyle w:val="ListParagraph"/>
        <w:spacing w:lineRule="auto" w:line="240"/>
        <w:ind w:left="1080" w:hanging="0"/>
        <w:jc w:val="both"/>
        <w:rPr/>
      </w:pPr>
      <w:r>
        <w:rPr>
          <w:rFonts w:eastAsia="Calibri" w:cs="Times New Roman" w:ascii="Times New Roman" w:hAnsi="Times New Roman"/>
          <w:color w:val="FF0000"/>
        </w:rPr>
        <w:t>link către revistă:</w:t>
      </w:r>
      <w:r>
        <w:rPr>
          <w:rFonts w:eastAsia="Calibri" w:cs="Times New Roman" w:ascii="Times New Roman" w:hAnsi="Times New Roman"/>
          <w:sz w:val="18"/>
        </w:rPr>
        <w:t xml:space="preserve"> </w:t>
      </w:r>
      <w:hyperlink r:id="rId4">
        <w:r>
          <w:rPr>
            <w:rStyle w:val="InternetLink"/>
            <w:rFonts w:cs="Times New Roman" w:ascii="Times New Roman" w:hAnsi="Times New Roman"/>
            <w:lang w:val="en-US"/>
          </w:rPr>
          <w:t>https://www.revmedchir.ro/index.php/revmedchir/article/view/109/85</w:t>
        </w:r>
      </w:hyperlink>
    </w:p>
    <w:p>
      <w:pPr>
        <w:pStyle w:val="Normal"/>
        <w:spacing w:lineRule="auto" w:line="240"/>
        <w:ind w:left="1080" w:hanging="0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eastAsia="Calibri" w:cs="Times New Roman" w:ascii="Times New Roman" w:hAnsi="Times New Roman"/>
          <w:color w:val="FF0000"/>
        </w:rPr>
        <w:t>baze de date:</w:t>
      </w:r>
      <w:r>
        <w:rPr>
          <w:rFonts w:cs="Times New Roman" w:ascii="Times New Roman" w:hAnsi="Times New Roman"/>
          <w:b/>
        </w:rPr>
        <w:t xml:space="preserve"> Clarivate Analytics - </w:t>
      </w:r>
      <w:r>
        <w:rPr>
          <w:rFonts w:cs="Times New Roman" w:ascii="Times New Roman" w:hAnsi="Times New Roman"/>
          <w:bCs/>
        </w:rPr>
        <w:t xml:space="preserve">Web of Science Core Collection </w:t>
      </w:r>
    </w:p>
    <w:p>
      <w:pPr>
        <w:pStyle w:val="Normal"/>
        <w:spacing w:lineRule="auto" w:line="240"/>
        <w:ind w:left="1080" w:hanging="0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eastAsia="Calibri" w:cs="Times New Roman" w:ascii="Times New Roman" w:hAnsi="Times New Roman"/>
          <w:szCs w:val="20"/>
        </w:rPr>
        <w:t>(http://apps.webofknowledge.com.dbproxy.umfiasi.ro/full_record.do?product=WOS&amp;search_mode=GeneralSearch&amp;qid=3&amp;SID=D2dqWRsrmAJiilumHMs&amp;excludeEventConfig=ExcludeIfFromFullRecPage&amp;page=1&amp;doc=2)</w:t>
      </w:r>
    </w:p>
    <w:p>
      <w:pPr>
        <w:pStyle w:val="Normal"/>
        <w:spacing w:lineRule="auto" w:line="240"/>
        <w:ind w:left="108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 xml:space="preserve">Manuela Hortolomei, Lacramioara Ochiuz, Iuliana Popovici, Timofte, </w:t>
      </w:r>
      <w:r>
        <w:rPr>
          <w:rFonts w:cs="Times New Roman" w:ascii="Times New Roman" w:hAnsi="Times New Roman"/>
          <w:b/>
          <w:sz w:val="22"/>
          <w:lang w:val="en-US"/>
        </w:rPr>
        <w:t>Diana Cezarina Petrescu</w:t>
      </w:r>
      <w:r>
        <w:rPr>
          <w:rFonts w:cs="Times New Roman" w:ascii="Times New Roman" w:hAnsi="Times New Roman"/>
          <w:sz w:val="22"/>
          <w:lang w:val="en-US"/>
        </w:rPr>
        <w:t>, Cristina Mihaela Ghiciuc. Development and validation of the high performance liquid chromatography method for the quantitative determination of erythromycin in dermo-preparations. Rev. Med. Chir. Soc. Med. Nat 2015; 119(4): 1174-1179.</w:t>
      </w:r>
    </w:p>
    <w:p>
      <w:pPr>
        <w:pStyle w:val="ListParagraph"/>
        <w:spacing w:lineRule="auto" w:line="240"/>
        <w:ind w:left="1080" w:hanging="0"/>
        <w:rPr/>
      </w:pPr>
      <w:r>
        <w:rPr>
          <w:rFonts w:eastAsia="Calibri" w:cs="Times New Roman" w:ascii="Times New Roman" w:hAnsi="Times New Roman"/>
          <w:color w:val="FF0000"/>
        </w:rPr>
        <w:t xml:space="preserve">link către revistă: </w:t>
      </w:r>
      <w:hyperlink r:id="rId5">
        <w:r>
          <w:rPr>
            <w:rStyle w:val="InternetLink"/>
            <w:rFonts w:eastAsia="Calibri" w:cs="Times New Roman" w:ascii="Times New Roman" w:hAnsi="Times New Roman"/>
            <w:szCs w:val="20"/>
          </w:rPr>
          <w:t>https://www.revmedchir.ro/index.php/revmedchir/article/view/363/318</w:t>
        </w:r>
      </w:hyperlink>
    </w:p>
    <w:p>
      <w:pPr>
        <w:pStyle w:val="Normal"/>
        <w:spacing w:lineRule="auto" w:line="240"/>
        <w:ind w:left="1080" w:hanging="0"/>
        <w:jc w:val="both"/>
        <w:rPr>
          <w:rFonts w:ascii="Times New Roman" w:hAnsi="Times New Roman" w:cs="Times New Roman"/>
          <w:bCs/>
        </w:rPr>
      </w:pPr>
      <w:r>
        <w:rPr>
          <w:rFonts w:eastAsia="Calibri" w:cs="Times New Roman" w:ascii="Times New Roman" w:hAnsi="Times New Roman"/>
          <w:color w:val="FF0000"/>
        </w:rPr>
        <w:t>baze de date:</w:t>
      </w:r>
      <w:r>
        <w:rPr>
          <w:rFonts w:cs="Times New Roman" w:ascii="Times New Roman" w:hAnsi="Times New Roman"/>
          <w:b/>
        </w:rPr>
        <w:t xml:space="preserve"> Clarivate Analytics - </w:t>
      </w:r>
      <w:r>
        <w:rPr>
          <w:rFonts w:cs="Times New Roman" w:ascii="Times New Roman" w:hAnsi="Times New Roman"/>
          <w:bCs/>
        </w:rPr>
        <w:t>Web of Science Core Collection </w:t>
      </w:r>
    </w:p>
    <w:p>
      <w:pPr>
        <w:pStyle w:val="Normal"/>
        <w:spacing w:lineRule="auto" w:line="240"/>
        <w:ind w:left="1080" w:hanging="0"/>
        <w:jc w:val="both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szCs w:val="20"/>
        </w:rPr>
        <w:t>(http://apps.webofknowledge.com.dbproxy.umfiasi.ro/Search.do?product=WOS&amp;SID=D2dqWRsrmAJiilumHMs&amp;search_mode=GeneralSearch&amp;prID=9c3dbf29-59d6-421e-bdfd-cf8f7a6c46aa)</w:t>
      </w:r>
    </w:p>
    <w:p>
      <w:pPr>
        <w:pStyle w:val="ListParagraph"/>
        <w:spacing w:lineRule="auto" w:line="240"/>
        <w:ind w:left="1080" w:hanging="0"/>
        <w:rPr>
          <w:rFonts w:ascii="Times New Roman" w:hAnsi="Times New Roman" w:eastAsia="Calibri" w:cs="Times New Roman"/>
          <w:szCs w:val="20"/>
        </w:rPr>
      </w:pPr>
      <w:r>
        <w:rPr>
          <w:rFonts w:eastAsia="Calibri" w:cs="Times New Roman" w:ascii="Times New Roman" w:hAnsi="Times New Roman"/>
          <w:szCs w:val="20"/>
        </w:rPr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/>
        <w:jc w:val="both"/>
        <w:rPr>
          <w:rFonts w:ascii="Times New Roman" w:hAnsi="Times New Roman" w:cs="Times New Roman"/>
          <w:b/>
          <w:b/>
          <w:color w:val="00000A"/>
          <w:sz w:val="22"/>
          <w:u w:val="none"/>
        </w:rPr>
      </w:pPr>
      <w:r>
        <w:rPr/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ListParagraph"/>
        <w:spacing w:lineRule="auto" w:line="240"/>
        <w:ind w:left="1080" w:hanging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ListParagraph"/>
        <w:spacing w:lineRule="auto" w:line="240"/>
        <w:ind w:left="1080" w:hanging="0"/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footnotePr>
        <w:numFmt w:val="decimal"/>
      </w:footnotePr>
      <w:type w:val="nextPage"/>
      <w:pgSz w:w="11906" w:h="16838"/>
      <w:pgMar w:left="1417" w:right="1417" w:header="709" w:top="1417" w:footer="867" w:bottom="1417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rebuchet MS">
    <w:charset w:val="01"/>
    <w:family w:val="roman"/>
    <w:pitch w:val="variable"/>
  </w:font>
  <w:font w:name="UMF Sans">
    <w:charset w:val="01"/>
    <w:family w:val="roman"/>
    <w:pitch w:val="variable"/>
  </w:font>
  <w:font w:name="Segoe UI">
    <w:charset w:val="01"/>
    <w:family w:val="roman"/>
    <w:pitch w:val="variable"/>
  </w:font>
  <w:font w:name="Sylfaen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  <w:font w:name="Arial Narrow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970" cy="200660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actUMF"/>
                            <w:jc w:val="right"/>
                            <w:rPr/>
                          </w:pPr>
                          <w:r>
                            <w:rPr/>
                            <w:t xml:space="preserve">pagina </w:t>
                          </w: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/>
                            <w:t xml:space="preserve"> din </w:t>
                          </w:r>
                          <w:r>
                            <w:rPr/>
                            <w:fldChar w:fldCharType="begin"/>
                          </w:r>
                          <w:r>
                            <w:instrText> NUMPAGES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style="position:absolute;margin-left:479.1pt;margin-top:811.4pt;width:81pt;height:15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actUMF"/>
                      <w:jc w:val="right"/>
                      <w:rPr/>
                    </w:pPr>
                    <w:r>
                      <w:rPr/>
                      <w:t xml:space="preserve">pagina </w:t>
                    </w: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/>
                      <w:t xml:space="preserve"> din </w:t>
                    </w:r>
                    <w:r>
                      <w:rPr/>
                      <w:fldChar w:fldCharType="begin"/>
                    </w:r>
                    <w:r>
                      <w:instrText> NUMPAGES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9335" cy="200660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880" cy="20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actUMF"/>
                            <w:jc w:val="right"/>
                            <w:rPr/>
                          </w:pPr>
                          <w:r>
                            <w:rPr/>
                            <w:t xml:space="preserve">pagina </w:t>
                          </w: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/>
                            <w:t xml:space="preserve"> din </w:t>
                          </w:r>
                          <w:r>
                            <w:rPr/>
                            <w:fldChar w:fldCharType="begin"/>
                          </w:r>
                          <w:r>
                            <w:instrText> NUMPAGES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style="position:absolute;margin-left:446.8pt;margin-top:769.45pt;width:80.95pt;height:15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actUMF"/>
                      <w:jc w:val="right"/>
                      <w:rPr/>
                    </w:pPr>
                    <w:r>
                      <w:rPr/>
                      <w:t xml:space="preserve">pagina </w:t>
                    </w: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/>
                      <w:t xml:space="preserve"> din </w:t>
                    </w:r>
                    <w:r>
                      <w:rPr/>
                      <w:fldChar w:fldCharType="begin"/>
                    </w:r>
                    <w:r>
                      <w:instrText> NUMPAGES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ascii="Arial Narrow" w:hAnsi="Arial Narrow"/>
        </w:rPr>
        <w:footnoteRef/>
        <w:tab/>
      </w:r>
      <w:r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6000" cy="409575"/>
              <wp:effectExtent l="0" t="0" r="0" b="0"/>
              <wp:wrapTopAndBottom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actUMF"/>
                            <w:rPr/>
                          </w:pPr>
                          <w:r>
                            <w:rPr/>
                            <w:t>Str. Universității nr.16, 700115, Iași, România</w:t>
                          </w:r>
                        </w:p>
                        <w:p>
                          <w:pPr>
                            <w:pStyle w:val="ContactUMF"/>
                            <w:rPr/>
                          </w:pPr>
                          <w:r>
                            <w:rPr/>
                            <w:t>www.umfiasi.ro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style="position:absolute;margin-left:75.05pt;margin-top:133.25pt;width:479.9pt;height:32.1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actUMF"/>
                      <w:rPr/>
                    </w:pPr>
                    <w:r>
                      <w:rPr/>
                      <w:t>Str. Universității nr.16, 700115, Iași, România</w:t>
                    </w:r>
                  </w:p>
                  <w:p>
                    <w:pPr>
                      <w:pStyle w:val="ContactUMF"/>
                      <w:rPr/>
                    </w:pPr>
                    <w:r>
                      <w:rPr/>
                      <w:t>www.umfiasi.ro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6000" cy="184785"/>
              <wp:effectExtent l="0" t="0" r="0" b="0"/>
              <wp:wrapTopAndBottom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actUMF"/>
                            <w:rPr/>
                          </w:pPr>
                          <w:r>
                            <w:rPr/>
                            <w:t xml:space="preserve">MINISTERUL EDUCAȚIEI NAȚIONALE 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style="position:absolute;margin-left:75.05pt;margin-top:42.55pt;width:479.9pt;height:14.4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actUMF"/>
                      <w:rPr/>
                    </w:pPr>
                    <w:r>
                      <w:rPr/>
                      <w:t xml:space="preserve">MINISTERUL EDUCAȚIEI NAȚIONALE 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1800225" distB="179705" distL="114300" distR="114300" simplePos="0" locked="0" layoutInCell="1" allowOverlap="1" relativeHeight="6">
              <wp:simplePos x="0" y="0"/>
              <wp:positionH relativeFrom="page">
                <wp:posOffset>961390</wp:posOffset>
              </wp:positionH>
              <wp:positionV relativeFrom="page">
                <wp:posOffset>2146935</wp:posOffset>
              </wp:positionV>
              <wp:extent cx="6027420" cy="112395"/>
              <wp:effectExtent l="0" t="0" r="0" b="0"/>
              <wp:wrapTopAndBottom/>
              <wp:docPr id="5" name="Dreptunghi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760" cy="11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Dreptunghi 13" fillcolor="white" stroked="f" style="position:absolute;margin-left:75.7pt;margin-top:169.05pt;width:474.5pt;height:8.75pt;mso-position-horizontal-relative:page;mso-position-vertical-relative:page">
              <w10:wrap type="none"/>
              <v:fill o:detectmouseclick="t" type="solid" color2="black"/>
              <v:stroke color="#3465a4" joinstyle="round" endcap="flat"/>
            </v:rect>
          </w:pict>
        </mc:Fallback>
      </mc:AlternateContent>
      <w:drawing>
        <wp:anchor behindDoc="1" distT="0" distB="0" distL="114300" distR="114300" simplePos="0" locked="0" layoutInCell="1" allowOverlap="1" relativeHeight="7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100" cy="612140"/>
          <wp:effectExtent l="0" t="0" r="0" b="0"/>
          <wp:wrapNone/>
          <wp:docPr id="6" name="I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Trebuchet MS" w:cs="" w:asciiTheme="minorHAnsi" w:cstheme="minorBidi" w:eastAsiaTheme="minorHAnsi" w:hAnsiTheme="minorHAnsi"/>
        <w:szCs w:val="22"/>
        <w:lang w:val="ro-RO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1ac8"/>
    <w:pPr>
      <w:widowControl/>
      <w:bidi w:val="0"/>
      <w:spacing w:lineRule="exact" w:line="300" w:before="0" w:after="0"/>
      <w:jc w:val="left"/>
    </w:pPr>
    <w:rPr>
      <w:rFonts w:ascii="Trebuchet MS" w:hAnsi="Trebuchet MS" w:eastAsia="Trebuchet MS" w:cs="" w:asciiTheme="minorHAnsi" w:cstheme="minorBidi" w:eastAsiaTheme="minorHAnsi" w:hAnsiTheme="minorHAnsi"/>
      <w:color w:val="00000A"/>
      <w:sz w:val="20"/>
      <w:szCs w:val="22"/>
      <w:lang w:val="ro-RO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 w:after="0"/>
      <w:outlineLvl w:val="1"/>
    </w:pPr>
    <w:rPr>
      <w:rFonts w:eastAsia="" w:cs="" w:cstheme="majorBidi" w:eastAsiaTheme="majorEastAsia"/>
      <w:b/>
      <w:color w:val="000000" w:themeColor="text1"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3620a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620ac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a314b1"/>
    <w:rPr>
      <w:rFonts w:ascii="UMF Sans" w:hAnsi="UMF Sans" w:eastAsia="" w:cs="" w:cstheme="majorBidi" w:eastAsiaTheme="majorEastAsia"/>
      <w:b/>
      <w:sz w:val="32"/>
      <w:szCs w:val="3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314b1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71ac8"/>
    <w:rPr>
      <w:rFonts w:ascii="Trebuchet MS" w:hAnsi="Trebuchet MS" w:eastAsia="" w:cs="" w:cstheme="majorBidi" w:eastAsiaTheme="majorEastAsia"/>
      <w:b/>
      <w:color w:val="000000" w:themeColor="text1"/>
      <w:sz w:val="24"/>
      <w:szCs w:val="2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973d0f"/>
    <w:rPr>
      <w:rFonts w:eastAsia=""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qFormat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character" w:styleId="FontStyle13" w:customStyle="1">
    <w:name w:val="Font Style13"/>
    <w:uiPriority w:val="99"/>
    <w:qFormat/>
    <w:rsid w:val="00d8638b"/>
    <w:rPr>
      <w:rFonts w:ascii="Sylfaen" w:hAnsi="Sylfaen" w:cs="Sylfaen"/>
      <w:sz w:val="22"/>
      <w:szCs w:val="22"/>
    </w:rPr>
  </w:style>
  <w:style w:type="character" w:styleId="InternetLink">
    <w:name w:val="Internet 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character" w:styleId="FontStyle30" w:customStyle="1">
    <w:name w:val="Font Style30"/>
    <w:qFormat/>
    <w:rsid w:val="005b2b31"/>
    <w:rPr>
      <w:rFonts w:ascii="Times New Roman" w:hAnsi="Times New Roman" w:cs="Times New Roman"/>
      <w:sz w:val="22"/>
      <w:szCs w:val="22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5b2b31"/>
    <w:rPr>
      <w:rFonts w:ascii="Trebuchet MS" w:hAnsi="Trebuchet MS" w:eastAsia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b2b31"/>
    <w:rPr>
      <w:vertAlign w:val="superscript"/>
    </w:rPr>
  </w:style>
  <w:style w:type="character" w:styleId="Strong">
    <w:name w:val="Strong"/>
    <w:basedOn w:val="DefaultParagraphFont"/>
    <w:uiPriority w:val="22"/>
    <w:qFormat/>
    <w:rsid w:val="003652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d7f9a"/>
    <w:rPr>
      <w:color w:val="B99B64" w:themeColor="followedHyperlink"/>
      <w:u w:val="single"/>
    </w:rPr>
  </w:style>
  <w:style w:type="character" w:styleId="ListLabel1">
    <w:name w:val="ListLabel 1"/>
    <w:qFormat/>
    <w:rPr>
      <w:rFonts w:eastAsia="Trebuchet MS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11">
    <w:name w:val="ListLabel 11"/>
    <w:qFormat/>
    <w:rPr>
      <w:rFonts w:ascii="Times New Roman" w:hAnsi="Times New Roman" w:cs="Symbol"/>
      <w:sz w:val="22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ascii="Times New Roman" w:hAnsi="Times New Roman" w:cs="Symbol"/>
      <w:sz w:val="22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 w:leader="none"/>
        <w:tab w:val="right" w:pos="9026" w:leader="none"/>
      </w:tabs>
      <w:spacing w:lineRule="auto" w:line="240"/>
    </w:pPr>
    <w:rPr/>
  </w:style>
  <w:style w:type="paragraph" w:styleId="ContactUMF" w:customStyle="1">
    <w:name w:val="Contact UMF"/>
    <w:next w:val="Normal"/>
    <w:qFormat/>
    <w:rsid w:val="00171ac8"/>
    <w:pPr>
      <w:widowControl/>
      <w:bidi w:val="0"/>
      <w:spacing w:lineRule="exact" w:line="280" w:before="0" w:after="0"/>
      <w:jc w:val="left"/>
    </w:pPr>
    <w:rPr>
      <w:rFonts w:ascii="Trebuchet MS" w:hAnsi="Trebuchet MS" w:eastAsia="Trebuchet MS" w:cs=""/>
      <w:color w:val="BEBEBE"/>
      <w:sz w:val="20"/>
      <w:szCs w:val="20"/>
      <w:lang w:val="ro-RO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14b1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spacing w:before="0" w:after="160"/>
    </w:pPr>
    <w:rPr>
      <w:rFonts w:ascii="Trebuchet MS" w:hAnsi="Trebuchet MS" w:eastAsia="" w:asciiTheme="minorHAnsi" w:eastAsiaTheme="minorEastAsia" w:hAnsiTheme="minorHAnsi"/>
      <w:b/>
      <w:color w:val="808080" w:themeColor="background1" w:themeShade="80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 w:hanging="0"/>
      <w:jc w:val="center"/>
    </w:pPr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/>
        <w:bottom w:val="single" w:sz="4" w:space="10" w:color="CFAB7A"/>
      </w:pBdr>
      <w:spacing w:before="360" w:after="360"/>
      <w:ind w:left="864" w:right="864" w:hanging="0"/>
      <w:jc w:val="center"/>
    </w:pPr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67a2b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d8638b"/>
    <w:pPr>
      <w:widowControl/>
      <w:bidi w:val="0"/>
      <w:spacing w:lineRule="auto" w:line="240" w:before="0" w:after="0"/>
      <w:ind w:left="1134" w:hanging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paragraph" w:styleId="Style18" w:customStyle="1">
    <w:name w:val="Style18"/>
    <w:basedOn w:val="Normal"/>
    <w:qFormat/>
    <w:rsid w:val="005b2b31"/>
    <w:pPr>
      <w:widowControl w:val="false"/>
      <w:spacing w:lineRule="exact" w:line="274"/>
      <w:jc w:val="both"/>
    </w:pPr>
    <w:rPr>
      <w:rFonts w:ascii="Arial Black" w:hAnsi="Arial Black" w:eastAsia="Times New Roman" w:cs="Times New Roman"/>
      <w:sz w:val="24"/>
      <w:szCs w:val="2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5b2b31"/>
    <w:pPr>
      <w:spacing w:lineRule="auto" w:line="240"/>
    </w:pPr>
    <w:rPr>
      <w:rFonts w:eastAsia="Trebuchet MS" w:cs="Times New Roman"/>
      <w:szCs w:val="20"/>
    </w:rPr>
  </w:style>
  <w:style w:type="paragraph" w:styleId="Footnote">
    <w:name w:val="Footnote"/>
    <w:basedOn w:val="Normal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settings" Target="settings.xml"/><Relationship Id="rId18" Type="http://schemas.openxmlformats.org/officeDocument/2006/relationships/customXml" Target="../customXml/item4.xml"/><Relationship Id="rId3" Type="http://schemas.openxmlformats.org/officeDocument/2006/relationships/hyperlink" Target="http://revista_fiziologia.umft.ro/archives/fiziologia2014_4.pdf" TargetMode="Externa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hyperlink" Target="https://www.revmedchir.ro/index.php/revmedchir/article/view/389/344" TargetMode="Externa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numbering" Target="numbering.xml"/><Relationship Id="rId5" Type="http://schemas.openxmlformats.org/officeDocument/2006/relationships/hyperlink" Target="https://www.revmedchir.ro/index.php/revmedchir/article/view/363/318" TargetMode="External"/><Relationship Id="rId15" Type="http://schemas.openxmlformats.org/officeDocument/2006/relationships/customXml" Target="../customXml/item1.xml"/><Relationship Id="rId10" Type="http://schemas.openxmlformats.org/officeDocument/2006/relationships/footnotes" Target="footnotes.xml"/><Relationship Id="rId19" Type="http://schemas.openxmlformats.org/officeDocument/2006/relationships/customXml" Target="../customXml/item5.xml"/><Relationship Id="rId4" Type="http://schemas.openxmlformats.org/officeDocument/2006/relationships/hyperlink" Target="https://www.revmedchir.ro/index.php/revmedchir/article/view/109/85" TargetMode="Externa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MACCJ7WAEWV6-2043652097-234</_dlc_DocId>
    <_dlc_DocIdUrl xmlns="4c155583-69f9-458b-843e-56574a4bdc09">
      <Url>https://www.umfiasi.ro/ro/universitate/directia-de-resurse-umane/_layouts/15/DocIdRedir.aspx?ID=MACCJ7WAEWV6-2043652097-234</Url>
      <Description>MACCJ7WAEWV6-2043652097-234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BF558E-0AB3-4DE8-9F7F-8DFE6CF08A4F}"/>
</file>

<file path=customXml/itemProps2.xml><?xml version="1.0" encoding="utf-8"?>
<ds:datastoreItem xmlns:ds="http://schemas.openxmlformats.org/officeDocument/2006/customXml" ds:itemID="{1C16AA2C-6546-435A-9382-00FC3AAB4689}"/>
</file>

<file path=customXml/itemProps3.xml><?xml version="1.0" encoding="utf-8"?>
<ds:datastoreItem xmlns:ds="http://schemas.openxmlformats.org/officeDocument/2006/customXml" ds:itemID="{B1EE1EE5-DD7E-4F3E-AF93-AC514813C862}"/>
</file>

<file path=customXml/itemProps4.xml><?xml version="1.0" encoding="utf-8"?>
<ds:datastoreItem xmlns:ds="http://schemas.openxmlformats.org/officeDocument/2006/customXml" ds:itemID="{8050B7F7-1331-4042-8A7E-32DBF715A784}"/>
</file>

<file path=customXml/itemProps5.xml><?xml version="1.0" encoding="utf-8"?>
<ds:datastoreItem xmlns:ds="http://schemas.openxmlformats.org/officeDocument/2006/customXml" ds:itemID="{199D4588-415F-4025-921B-478D27A232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LibreOffice/5.0.6.2$Linux_X86_64 LibreOffice_project/00m0$Build-2</Application>
  <Paragraphs>40</Paragraphs>
  <Company>UMF "Grigore T POPA" Iasi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revision>16</cp:revision>
  <cp:lastPrinted>2017-07-28T07:15:00Z</cp:lastPrinted>
  <dcterms:created xsi:type="dcterms:W3CDTF">2018-10-30T13:56:00Z</dcterms:created>
  <dcterms:modified xsi:type="dcterms:W3CDTF">2019-06-14T09:35:46Z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UMF "Grigore T POPA" Iasi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0x010100002AEA933BE4484A881408F1EFB9D1C1</vt:lpwstr>
  </property>
  <property fmtid="{D5CDD505-2E9C-101B-9397-08002B2CF9AE}" pid="10" name="_dlc_DocIdItemGuid">
    <vt:lpwstr>a2c65351-4bfe-40b5-aa56-9182d6e1b00e</vt:lpwstr>
  </property>
</Properties>
</file>