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7362"/>
      </w:tblGrid>
      <w:tr w:rsidR="00784CC1" w:rsidRPr="00FE77BE" w:rsidTr="00AF34AF">
        <w:tc>
          <w:tcPr>
            <w:tcW w:w="2268" w:type="dxa"/>
          </w:tcPr>
          <w:p w:rsidR="00784CC1" w:rsidRPr="00FE77BE" w:rsidRDefault="00784CC1" w:rsidP="007A7C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</w:pPr>
            <w:r w:rsidRPr="00FE77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>Item-uri</w:t>
            </w:r>
          </w:p>
        </w:tc>
        <w:tc>
          <w:tcPr>
            <w:tcW w:w="7362" w:type="dxa"/>
          </w:tcPr>
          <w:p w:rsidR="00784CC1" w:rsidRPr="00FE77BE" w:rsidRDefault="00784CC1" w:rsidP="007A7C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</w:pPr>
            <w:r w:rsidRPr="00FE77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>Cerinţe</w:t>
            </w:r>
          </w:p>
        </w:tc>
      </w:tr>
      <w:tr w:rsidR="00FE77BE" w:rsidRPr="00FE77BE" w:rsidTr="00AF34AF">
        <w:trPr>
          <w:trHeight w:val="563"/>
        </w:trPr>
        <w:tc>
          <w:tcPr>
            <w:tcW w:w="2268" w:type="dxa"/>
          </w:tcPr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Titre du cours</w:t>
            </w:r>
          </w:p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7362" w:type="dxa"/>
          </w:tcPr>
          <w:p w:rsidR="00FE77BE" w:rsidRPr="00FE77BE" w:rsidRDefault="00AF34AF" w:rsidP="007A7C8C">
            <w:pPr>
              <w:spacing w:line="240" w:lineRule="auto"/>
              <w:ind w:right="-19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F34A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Attachements classiques et modernes dans les prothèses hybrides</w:t>
            </w:r>
          </w:p>
        </w:tc>
      </w:tr>
      <w:tr w:rsidR="00FE77BE" w:rsidRPr="00FE77BE" w:rsidTr="00AF34AF">
        <w:tc>
          <w:tcPr>
            <w:tcW w:w="2268" w:type="dxa"/>
          </w:tcPr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Objectif</w:t>
            </w:r>
          </w:p>
        </w:tc>
        <w:tc>
          <w:tcPr>
            <w:tcW w:w="7362" w:type="dxa"/>
          </w:tcPr>
          <w:p w:rsidR="00AF34AF" w:rsidRPr="00AF34AF" w:rsidRDefault="00AF34AF" w:rsidP="00AF34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F34A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Apprendre les notions théoriques et pratiques de l'utilisation de la rétention des prothèses squelettiques dans différentes situations cliniques;</w:t>
            </w:r>
          </w:p>
          <w:p w:rsidR="00FE77BE" w:rsidRPr="00FE77BE" w:rsidRDefault="00AF34AF" w:rsidP="00AF34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fr-FR"/>
              </w:rPr>
            </w:pPr>
            <w:r w:rsidRPr="00AF34A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Choix des systèmes de rétention en fonction des caractéristiques cliniques et biomécaniques du cas clinique.</w:t>
            </w:r>
          </w:p>
        </w:tc>
      </w:tr>
      <w:tr w:rsidR="00FE77BE" w:rsidRPr="00FE77BE" w:rsidTr="00AF34AF">
        <w:tc>
          <w:tcPr>
            <w:tcW w:w="2268" w:type="dxa"/>
          </w:tcPr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Group ciblé </w:t>
            </w:r>
          </w:p>
        </w:tc>
        <w:tc>
          <w:tcPr>
            <w:tcW w:w="7362" w:type="dxa"/>
          </w:tcPr>
          <w:p w:rsidR="00FE77BE" w:rsidRPr="00FE77BE" w:rsidRDefault="006656BC" w:rsidP="006656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656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étudiants de  </w:t>
            </w:r>
            <w:r w:rsidR="00AF34A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 EME ANNEE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440425">
              <w:t xml:space="preserve"> </w:t>
            </w:r>
            <w:r w:rsidR="00440425" w:rsidRPr="004404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Faculté de médecine</w:t>
            </w:r>
            <w:r w:rsidR="004404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dentaire</w:t>
            </w:r>
          </w:p>
        </w:tc>
      </w:tr>
      <w:tr w:rsidR="00FE77BE" w:rsidRPr="00FE77BE" w:rsidTr="00AF34AF">
        <w:tc>
          <w:tcPr>
            <w:tcW w:w="2268" w:type="dxa"/>
          </w:tcPr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Participants</w:t>
            </w:r>
          </w:p>
        </w:tc>
        <w:tc>
          <w:tcPr>
            <w:tcW w:w="7362" w:type="dxa"/>
          </w:tcPr>
          <w:p w:rsidR="00FE77BE" w:rsidRPr="00FE77BE" w:rsidRDefault="00AF34AF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40</w:t>
            </w:r>
          </w:p>
        </w:tc>
      </w:tr>
      <w:tr w:rsidR="00FE77BE" w:rsidRPr="00FE77BE" w:rsidTr="00AF34AF">
        <w:tc>
          <w:tcPr>
            <w:tcW w:w="2268" w:type="dxa"/>
          </w:tcPr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Thématique proposée</w:t>
            </w:r>
          </w:p>
        </w:tc>
        <w:tc>
          <w:tcPr>
            <w:tcW w:w="7362" w:type="dxa"/>
          </w:tcPr>
          <w:p w:rsidR="00AA6E5F" w:rsidRPr="00AA6E5F" w:rsidRDefault="00AA6E5F" w:rsidP="00AA6E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A6E5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Évaluation clinique moderne du patient avec une édentation partielle étendue;</w:t>
            </w:r>
          </w:p>
          <w:p w:rsidR="00AA6E5F" w:rsidRPr="00AA6E5F" w:rsidRDefault="00AA6E5F" w:rsidP="00AA6E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A6E5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Évaluation paraclinique moderne du patient avec une édentation partielle étendue;</w:t>
            </w:r>
          </w:p>
          <w:p w:rsidR="00AA6E5F" w:rsidRPr="00AA6E5F" w:rsidRDefault="00AA6E5F" w:rsidP="00AA6E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A6E5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Évaluation des caractéristiques biomécaniques dans différentes situations cliniques;</w:t>
            </w:r>
          </w:p>
          <w:p w:rsidR="00AA6E5F" w:rsidRPr="00AA6E5F" w:rsidRDefault="00AA6E5F" w:rsidP="00AA6E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A6E5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Formation spécifique du patient à l'application de prothèses hybrides;</w:t>
            </w:r>
          </w:p>
          <w:p w:rsidR="00AA6E5F" w:rsidRPr="00AA6E5F" w:rsidRDefault="00AA6E5F" w:rsidP="00AA6E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A6E5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Préparation non spécifique du patient pour l'application de prothèses hybrides;</w:t>
            </w:r>
          </w:p>
          <w:p w:rsidR="00AA6E5F" w:rsidRPr="00AA6E5F" w:rsidRDefault="00AA6E5F" w:rsidP="00AA6E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A6E5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Méthodes d'empreinte spécifiques en prothèse hybride;</w:t>
            </w:r>
          </w:p>
          <w:p w:rsidR="00AA6E5F" w:rsidRPr="00AA6E5F" w:rsidRDefault="00AA6E5F" w:rsidP="00AA6E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A6E5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Méthodes spécifiques d'enregistrement des connexions mandibulo-crâniennes dans les prothèses hybrides;</w:t>
            </w:r>
          </w:p>
          <w:p w:rsidR="00AA6E5F" w:rsidRPr="00AA6E5F" w:rsidRDefault="00AA6E5F" w:rsidP="00AA6E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A6E5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Aspects théoriques des éléments de rétention rigides et leur applicabilité dans la pratique actuelle;</w:t>
            </w:r>
          </w:p>
          <w:p w:rsidR="00AA6E5F" w:rsidRPr="00AA6E5F" w:rsidRDefault="00AA6E5F" w:rsidP="00AA6E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A6E5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Aspects théoriques des éléments de rétention flexibles et leur applicabilité dans la pratique actuelle;</w:t>
            </w:r>
          </w:p>
          <w:p w:rsidR="00AA6E5F" w:rsidRPr="00AA6E5F" w:rsidRDefault="00AA6E5F" w:rsidP="00AA6E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A6E5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Indications, contre-indications pour l'application de la prothèse hybride; Avantages et inconvénients.</w:t>
            </w:r>
          </w:p>
          <w:p w:rsidR="00AA6E5F" w:rsidRPr="00AA6E5F" w:rsidRDefault="00AA6E5F" w:rsidP="00AA6E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A6E5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Aspects technologiques de la prothèse hybride;</w:t>
            </w:r>
          </w:p>
          <w:p w:rsidR="00AA6E5F" w:rsidRPr="00AA6E5F" w:rsidRDefault="00AA6E5F" w:rsidP="00AA6E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A6E5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Variantes thérapeutiques par prothèses hybrides dans différentes situations cliniques.</w:t>
            </w:r>
          </w:p>
          <w:p w:rsidR="00AA6E5F" w:rsidRPr="00AA6E5F" w:rsidRDefault="00AA6E5F" w:rsidP="00AA6E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A6E5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Distribution des patients traités avec des prothèses hybrides;</w:t>
            </w:r>
          </w:p>
          <w:p w:rsidR="00FE77BE" w:rsidRPr="00FE77BE" w:rsidRDefault="00AA6E5F" w:rsidP="00AA6E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A6E5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Complications de la prothèse hybride;</w:t>
            </w:r>
          </w:p>
        </w:tc>
      </w:tr>
      <w:tr w:rsidR="00FE77BE" w:rsidRPr="00FE77BE" w:rsidTr="00AF34AF">
        <w:tc>
          <w:tcPr>
            <w:tcW w:w="2268" w:type="dxa"/>
          </w:tcPr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Bibliographie</w:t>
            </w:r>
          </w:p>
        </w:tc>
        <w:tc>
          <w:tcPr>
            <w:tcW w:w="7362" w:type="dxa"/>
          </w:tcPr>
          <w:p w:rsidR="00FE77BE" w:rsidRDefault="00DF7A82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Actualites en clinique et therapie de l’edentement partiel etendu </w:t>
            </w:r>
            <w:r w:rsidR="004D29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Norina Forna</w:t>
            </w:r>
            <w:r w:rsidR="00FE77BE" w:rsidRPr="00FE77B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:rsidR="004D291C" w:rsidRPr="004D291C" w:rsidRDefault="004D291C" w:rsidP="004D29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Clinique et  et therapie de l’edentement partiel etendu-Norina Forna</w:t>
            </w:r>
            <w:r w:rsidRPr="00FE77B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FE77BE" w:rsidRPr="00FE77BE" w:rsidTr="00AF34AF">
        <w:tc>
          <w:tcPr>
            <w:tcW w:w="2268" w:type="dxa"/>
          </w:tcPr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Compétences professionnelles</w:t>
            </w:r>
          </w:p>
        </w:tc>
        <w:tc>
          <w:tcPr>
            <w:tcW w:w="7362" w:type="dxa"/>
          </w:tcPr>
          <w:p w:rsidR="00AA6E5F" w:rsidRPr="00AA6E5F" w:rsidRDefault="00AA6E5F" w:rsidP="00AA6E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A6E5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Acquisition par l'étudiant de notions théoriques et pratiques afin d'étendre les possibilités de traitements prothétiques complexes;</w:t>
            </w:r>
          </w:p>
          <w:p w:rsidR="00FE77BE" w:rsidRPr="00FE77BE" w:rsidRDefault="00AA6E5F" w:rsidP="00AA6E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A6E5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Intégration facile sur le marché du travail dans le pays et à l'étranger</w:t>
            </w:r>
          </w:p>
        </w:tc>
      </w:tr>
      <w:tr w:rsidR="00FE77BE" w:rsidRPr="00FE77BE" w:rsidTr="00AF34AF">
        <w:tc>
          <w:tcPr>
            <w:tcW w:w="2268" w:type="dxa"/>
          </w:tcPr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Méthodes d`enseignement et matériaux de cours</w:t>
            </w:r>
          </w:p>
        </w:tc>
        <w:tc>
          <w:tcPr>
            <w:tcW w:w="7362" w:type="dxa"/>
          </w:tcPr>
          <w:p w:rsidR="00FE77BE" w:rsidRPr="00FE77BE" w:rsidRDefault="00AA6E5F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Presentations power-point</w:t>
            </w:r>
          </w:p>
        </w:tc>
      </w:tr>
      <w:tr w:rsidR="00FE77BE" w:rsidRPr="00FE77BE" w:rsidTr="00AF34AF">
        <w:tc>
          <w:tcPr>
            <w:tcW w:w="2268" w:type="dxa"/>
          </w:tcPr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Responsable de cours</w:t>
            </w:r>
          </w:p>
        </w:tc>
        <w:tc>
          <w:tcPr>
            <w:tcW w:w="7362" w:type="dxa"/>
          </w:tcPr>
          <w:p w:rsidR="00FE77BE" w:rsidRPr="00FE77BE" w:rsidRDefault="00A376C7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Sef Lucr. DR. Monica</w:t>
            </w:r>
            <w:r w:rsidR="00F5081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ndronache</w:t>
            </w:r>
          </w:p>
        </w:tc>
      </w:tr>
      <w:tr w:rsidR="00FE77BE" w:rsidRPr="00FE77BE" w:rsidTr="00AF34AF">
        <w:tc>
          <w:tcPr>
            <w:tcW w:w="2268" w:type="dxa"/>
          </w:tcPr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Lecteurs associés </w:t>
            </w:r>
          </w:p>
        </w:tc>
        <w:tc>
          <w:tcPr>
            <w:tcW w:w="7362" w:type="dxa"/>
          </w:tcPr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E77BE" w:rsidRPr="00FE77BE" w:rsidTr="00AF34AF">
        <w:tc>
          <w:tcPr>
            <w:tcW w:w="2268" w:type="dxa"/>
          </w:tcPr>
          <w:p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Mots clés</w:t>
            </w:r>
          </w:p>
        </w:tc>
        <w:tc>
          <w:tcPr>
            <w:tcW w:w="7362" w:type="dxa"/>
          </w:tcPr>
          <w:p w:rsidR="00FE77BE" w:rsidRPr="00FE77BE" w:rsidRDefault="00AA6E5F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A6E5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Attachement, biomécanique, édentation</w:t>
            </w:r>
          </w:p>
        </w:tc>
      </w:tr>
    </w:tbl>
    <w:p w:rsidR="00532AF3" w:rsidRPr="00FE77BE" w:rsidRDefault="007A7C8C" w:rsidP="00532AF3">
      <w:pPr>
        <w:jc w:val="center"/>
        <w:rPr>
          <w:rFonts w:ascii="Times New Roman" w:hAnsi="Times New Roman" w:cs="Times New Roman"/>
          <w:b/>
          <w:sz w:val="24"/>
        </w:rPr>
      </w:pPr>
      <w:r w:rsidRPr="00FE77BE">
        <w:rPr>
          <w:rFonts w:ascii="Times New Roman" w:hAnsi="Times New Roman" w:cs="Times New Roman"/>
          <w:b/>
          <w:sz w:val="24"/>
        </w:rPr>
        <w:t>MATIERES A OPTION</w:t>
      </w:r>
      <w:r w:rsidR="00532AF3">
        <w:rPr>
          <w:rFonts w:ascii="Times New Roman" w:hAnsi="Times New Roman" w:cs="Times New Roman"/>
          <w:b/>
          <w:sz w:val="24"/>
        </w:rPr>
        <w:t xml:space="preserve"> </w:t>
      </w:r>
      <w:r w:rsidR="00532AF3" w:rsidRPr="00FE77BE">
        <w:rPr>
          <w:rFonts w:ascii="Times New Roman" w:hAnsi="Times New Roman" w:cs="Times New Roman"/>
          <w:b/>
          <w:sz w:val="24"/>
        </w:rPr>
        <w:t>ANNEE UNIVERSITAIRE 20</w:t>
      </w:r>
      <w:r w:rsidR="00532AF3">
        <w:rPr>
          <w:rFonts w:ascii="Times New Roman" w:hAnsi="Times New Roman" w:cs="Times New Roman"/>
          <w:b/>
          <w:sz w:val="24"/>
        </w:rPr>
        <w:t>20</w:t>
      </w:r>
      <w:r w:rsidR="00532AF3" w:rsidRPr="00FE77BE">
        <w:rPr>
          <w:rFonts w:ascii="Times New Roman" w:hAnsi="Times New Roman" w:cs="Times New Roman"/>
          <w:b/>
          <w:sz w:val="24"/>
        </w:rPr>
        <w:t>-20</w:t>
      </w:r>
      <w:r w:rsidR="00532AF3">
        <w:rPr>
          <w:rFonts w:ascii="Times New Roman" w:hAnsi="Times New Roman" w:cs="Times New Roman"/>
          <w:b/>
          <w:sz w:val="24"/>
        </w:rPr>
        <w:t>21</w:t>
      </w:r>
    </w:p>
    <w:p w:rsidR="00A314B1" w:rsidRPr="00FE77BE" w:rsidRDefault="00A314B1" w:rsidP="007A7C8C">
      <w:pPr>
        <w:jc w:val="center"/>
        <w:rPr>
          <w:rFonts w:ascii="Times New Roman" w:hAnsi="Times New Roman" w:cs="Times New Roman"/>
          <w:b/>
          <w:sz w:val="24"/>
        </w:rPr>
      </w:pPr>
    </w:p>
    <w:p w:rsidR="007A7C8C" w:rsidRPr="00FE77BE" w:rsidRDefault="007A7C8C" w:rsidP="007A7C8C">
      <w:pPr>
        <w:jc w:val="center"/>
        <w:rPr>
          <w:rFonts w:ascii="Times New Roman" w:hAnsi="Times New Roman" w:cs="Times New Roman"/>
          <w:b/>
          <w:sz w:val="24"/>
        </w:rPr>
      </w:pPr>
      <w:r w:rsidRPr="00FE77BE">
        <w:rPr>
          <w:rFonts w:ascii="Times New Roman" w:hAnsi="Times New Roman" w:cs="Times New Roman"/>
          <w:b/>
          <w:sz w:val="24"/>
        </w:rPr>
        <w:t>ANNEE UNIVERSITAIRE 20</w:t>
      </w:r>
      <w:r w:rsidR="00F80F41">
        <w:rPr>
          <w:rFonts w:ascii="Times New Roman" w:hAnsi="Times New Roman" w:cs="Times New Roman"/>
          <w:b/>
          <w:sz w:val="24"/>
        </w:rPr>
        <w:t>20</w:t>
      </w:r>
      <w:r w:rsidRPr="00FE77BE">
        <w:rPr>
          <w:rFonts w:ascii="Times New Roman" w:hAnsi="Times New Roman" w:cs="Times New Roman"/>
          <w:b/>
          <w:sz w:val="24"/>
        </w:rPr>
        <w:t>-20</w:t>
      </w:r>
      <w:r w:rsidR="00481103">
        <w:rPr>
          <w:rFonts w:ascii="Times New Roman" w:hAnsi="Times New Roman" w:cs="Times New Roman"/>
          <w:b/>
          <w:sz w:val="24"/>
        </w:rPr>
        <w:t>2</w:t>
      </w:r>
      <w:r w:rsidR="00F80F41">
        <w:rPr>
          <w:rFonts w:ascii="Times New Roman" w:hAnsi="Times New Roman" w:cs="Times New Roman"/>
          <w:b/>
          <w:sz w:val="24"/>
        </w:rPr>
        <w:t>1</w:t>
      </w:r>
    </w:p>
    <w:sectPr w:rsidR="007A7C8C" w:rsidRPr="00FE77BE" w:rsidSect="00A314B1">
      <w:footerReference w:type="default" r:id="rId10"/>
      <w:headerReference w:type="first" r:id="rId11"/>
      <w:footerReference w:type="first" r:id="rId12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3A7" w:rsidRDefault="00FF23A7" w:rsidP="003620AC">
      <w:pPr>
        <w:spacing w:line="240" w:lineRule="auto"/>
      </w:pPr>
      <w:r>
        <w:separator/>
      </w:r>
    </w:p>
  </w:endnote>
  <w:endnote w:type="continuationSeparator" w:id="1">
    <w:p w:rsidR="00FF23A7" w:rsidRDefault="00FF23A7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B1" w:rsidRDefault="007E1482">
    <w:pPr>
      <w:pStyle w:val="Foot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19" o:spid="_x0000_s4103" type="#_x0000_t202" style="position:absolute;margin-left:479.1pt;margin-top:811.4pt;width:81.05pt;height:15.75pt;z-index:251662336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<v:textbox inset="0,0,0,0">
            <w:txbxContent>
              <w:p w:rsidR="00A314B1" w:rsidRDefault="00A314B1" w:rsidP="00A314B1">
                <w:pPr>
                  <w:pStyle w:val="ContactUMF"/>
                  <w:jc w:val="right"/>
                </w:pPr>
                <w:r>
                  <w:t>pag</w:t>
                </w:r>
                <w:r w:rsidR="00D224ED">
                  <w:t>e</w:t>
                </w:r>
                <w:r w:rsidR="007E1482" w:rsidRPr="00A314B1">
                  <w:rPr>
                    <w:color w:val="7F7F7F" w:themeColor="text1" w:themeTint="80"/>
                  </w:rPr>
                  <w:fldChar w:fldCharType="begin"/>
                </w:r>
                <w:r w:rsidRPr="00A314B1">
                  <w:rPr>
                    <w:color w:val="7F7F7F" w:themeColor="text1" w:themeTint="80"/>
                  </w:rPr>
                  <w:instrText xml:space="preserve"> PAGE   \* MERGEFORMAT </w:instrText>
                </w:r>
                <w:r w:rsidR="007E1482" w:rsidRPr="00A314B1">
                  <w:rPr>
                    <w:color w:val="7F7F7F" w:themeColor="text1" w:themeTint="80"/>
                  </w:rPr>
                  <w:fldChar w:fldCharType="separate"/>
                </w:r>
                <w:r w:rsidR="00F50816">
                  <w:rPr>
                    <w:noProof/>
                    <w:color w:val="7F7F7F" w:themeColor="text1" w:themeTint="80"/>
                  </w:rPr>
                  <w:t>2</w:t>
                </w:r>
                <w:r w:rsidR="007E1482" w:rsidRPr="00A314B1">
                  <w:rPr>
                    <w:color w:val="7F7F7F" w:themeColor="text1" w:themeTint="80"/>
                  </w:rPr>
                  <w:fldChar w:fldCharType="end"/>
                </w:r>
                <w:r>
                  <w:t xml:space="preserve"> d</w:t>
                </w:r>
                <w:r w:rsidR="00D224ED">
                  <w:t>e</w:t>
                </w:r>
                <w:fldSimple w:instr=" NUMPAGES   \* MERGEFORMAT ">
                  <w:r w:rsidR="00F50816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28C" w:rsidRDefault="00E1418E">
    <w:pPr>
      <w:pStyle w:val="Footer"/>
    </w:pPr>
    <w:r>
      <w:rPr>
        <w:noProof/>
        <w:lang w:val="en-US"/>
      </w:rPr>
      <w:drawing>
        <wp:anchor distT="0" distB="0" distL="114300" distR="114300" simplePos="0" relativeHeight="251669504" behindDoc="0" locked="1" layoutInCell="1" allowOverlap="1">
          <wp:simplePos x="0" y="0"/>
          <wp:positionH relativeFrom="page">
            <wp:posOffset>1038225</wp:posOffset>
          </wp:positionH>
          <wp:positionV relativeFrom="page">
            <wp:posOffset>8950960</wp:posOffset>
          </wp:positionV>
          <wp:extent cx="1162050" cy="1231265"/>
          <wp:effectExtent l="0" t="0" r="0" b="6985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231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1482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17" o:spid="_x0000_s4099" type="#_x0000_t202" style="position:absolute;margin-left:479.2pt;margin-top:811.45pt;width:81.05pt;height:15.75pt;z-index:251658240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<v:textbox inset="0,0,0,0">
            <w:txbxContent>
              <w:p w:rsidR="00416344" w:rsidRDefault="00416344" w:rsidP="00416344">
                <w:pPr>
                  <w:pStyle w:val="ContactUMF"/>
                  <w:jc w:val="right"/>
                </w:pPr>
                <w:r>
                  <w:t>pag</w:t>
                </w:r>
                <w:r w:rsidR="00D224ED">
                  <w:t>e</w:t>
                </w:r>
                <w:r w:rsidR="007E1482" w:rsidRPr="00A314B1">
                  <w:rPr>
                    <w:color w:val="7F7F7F" w:themeColor="text1" w:themeTint="80"/>
                  </w:rPr>
                  <w:fldChar w:fldCharType="begin"/>
                </w:r>
                <w:r w:rsidR="00A314B1" w:rsidRPr="00A314B1">
                  <w:rPr>
                    <w:color w:val="7F7F7F" w:themeColor="text1" w:themeTint="80"/>
                  </w:rPr>
                  <w:instrText xml:space="preserve"> PAGE   \* MERGEFORMAT </w:instrText>
                </w:r>
                <w:r w:rsidR="007E1482" w:rsidRPr="00A314B1">
                  <w:rPr>
                    <w:color w:val="7F7F7F" w:themeColor="text1" w:themeTint="80"/>
                  </w:rPr>
                  <w:fldChar w:fldCharType="separate"/>
                </w:r>
                <w:r w:rsidR="00A376C7">
                  <w:rPr>
                    <w:noProof/>
                    <w:color w:val="7F7F7F" w:themeColor="text1" w:themeTint="80"/>
                  </w:rPr>
                  <w:t>1</w:t>
                </w:r>
                <w:r w:rsidR="007E1482" w:rsidRPr="00A314B1">
                  <w:rPr>
                    <w:color w:val="7F7F7F" w:themeColor="text1" w:themeTint="80"/>
                  </w:rPr>
                  <w:fldChar w:fldCharType="end"/>
                </w:r>
                <w:r w:rsidR="00D224ED">
                  <w:t>de</w:t>
                </w:r>
                <w:fldSimple w:instr=" NUMPAGES   \* MERGEFORMAT ">
                  <w:r w:rsidR="00A376C7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="007E1482">
      <w:rPr>
        <w:noProof/>
        <w:lang w:val="en-US"/>
      </w:rPr>
      <w:pict>
        <v:rect id="Dreptunghi 12" o:spid="_x0000_s4098" style="position:absolute;margin-left:-1.35pt;margin-top:-100.95pt;width:498.75pt;height:11.05pt;z-index:251654144;visibility:visible;mso-wrap-distance-top:14.2pt;mso-wrap-distance-bottom:85.05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<w10:wrap type="topAndBottom"/>
        </v:rect>
      </w:pict>
    </w:r>
    <w:r w:rsidR="007E1482">
      <w:rPr>
        <w:noProof/>
        <w:lang w:val="en-US"/>
      </w:rPr>
      <w:pict>
        <v:shape id="Casetă text 14" o:spid="_x0000_s4097" type="#_x0000_t202" style="position:absolute;margin-left:195.4pt;margin-top:726.85pt;width:221.6pt;height:46.75pt;z-index:25165516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<v:textbox inset="0,0,0,0">
            <w:txbxContent>
              <w:p w:rsidR="00E1418E" w:rsidRDefault="00E1418E" w:rsidP="00E1418E">
                <w:pPr>
                  <w:pStyle w:val="ContactUMF"/>
                  <w:rPr>
                    <w:b/>
                  </w:rPr>
                </w:pPr>
                <w:r w:rsidRPr="00A85CED">
                  <w:rPr>
                    <w:b/>
                  </w:rPr>
                  <w:t>SECRETARIAT FACULTATE</w:t>
                </w:r>
              </w:p>
              <w:p w:rsidR="00E1418E" w:rsidRDefault="00E1418E" w:rsidP="00E1418E">
                <w:pPr>
                  <w:pStyle w:val="ContactUMF"/>
                </w:pPr>
                <w:r>
                  <w:t>+40 232 301 618 tel / +40 232 211 820 fax</w:t>
                </w:r>
              </w:p>
              <w:p w:rsidR="00E1418E" w:rsidRDefault="00E1418E" w:rsidP="00E1418E">
                <w:pPr>
                  <w:pStyle w:val="ContactUMF"/>
                </w:pPr>
                <w:r>
                  <w:t>medden_decanat@umfiasi.ro</w:t>
                </w:r>
              </w:p>
              <w:p w:rsidR="0049528C" w:rsidRDefault="0049528C" w:rsidP="005B091D">
                <w:pPr>
                  <w:pStyle w:val="ContactUMF"/>
                </w:pPr>
                <w:bookmarkStart w:id="0" w:name="_GoBack"/>
                <w:bookmarkEnd w:id="0"/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3A7" w:rsidRDefault="00FF23A7" w:rsidP="003620AC">
      <w:pPr>
        <w:spacing w:line="240" w:lineRule="auto"/>
      </w:pPr>
      <w:r>
        <w:separator/>
      </w:r>
    </w:p>
  </w:footnote>
  <w:footnote w:type="continuationSeparator" w:id="1">
    <w:p w:rsidR="00FF23A7" w:rsidRDefault="00FF23A7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AC" w:rsidRDefault="007E1482">
    <w:pPr>
      <w:pStyle w:val="Header"/>
    </w:pPr>
    <w:r>
      <w:rPr>
        <w:noProof/>
        <w:lang w:val="en-US"/>
      </w:rPr>
      <w:pict>
        <v:rect id="Dreptunghi 13" o:spid="_x0000_s4102" style="position:absolute;margin-left:75.7pt;margin-top:169.05pt;width:474.5pt;height:8.75pt;z-index:251663360;visibility:visible;mso-wrap-distance-top:141.75pt;mso-wrap-distance-bottom:14.2pt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<w10:wrap type="topAndBottom" anchorx="page" anchory="page"/>
          <w10:anchorlock/>
        </v:rect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3" o:spid="_x0000_s4101" type="#_x0000_t202" style="position:absolute;margin-left:75.05pt;margin-top:42.55pt;width:479.95pt;height:14.5pt;z-index:251660288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<v:textbox inset="0,0,0,0">
            <w:txbxContent>
              <w:p w:rsidR="000F6B2B" w:rsidRPr="00116F4A" w:rsidRDefault="00116F4A" w:rsidP="000F6B2B">
                <w:pPr>
                  <w:pStyle w:val="ContactUMF"/>
                  <w:rPr>
                    <w:lang w:val="fr-FR"/>
                  </w:rPr>
                </w:pPr>
                <w:r w:rsidRPr="00116F4A">
                  <w:rPr>
                    <w:lang w:val="fr-FR"/>
                  </w:rPr>
                  <w:t xml:space="preserve">MINISTÈRE DE L'ÉDUCATION </w:t>
                </w:r>
                <w:r w:rsidR="00F80F41">
                  <w:rPr>
                    <w:lang w:val="fr-FR"/>
                  </w:rPr>
                  <w:t>ET DE LA RECHERCHE</w:t>
                </w:r>
              </w:p>
            </w:txbxContent>
          </v:textbox>
          <w10:wrap type="topAndBottom" anchorx="page" anchory="page"/>
          <w10:anchorlock/>
        </v:shape>
      </w:pict>
    </w:r>
    <w:r>
      <w:rPr>
        <w:noProof/>
        <w:lang w:val="en-US"/>
      </w:rPr>
      <w:pict>
        <v:shape id="Casetă text 2" o:spid="_x0000_s4100" type="#_x0000_t202" style="position:absolute;margin-left:75.05pt;margin-top:133.25pt;width:479.95pt;height:32.2pt;z-index:25165312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<v:textbox inset="0,0,0,0">
            <w:txbxContent>
              <w:p w:rsidR="00116F4A" w:rsidRPr="00116F4A" w:rsidRDefault="00116F4A" w:rsidP="00116F4A">
                <w:pPr>
                  <w:pStyle w:val="ContactUMF"/>
                  <w:rPr>
                    <w:lang w:val="fr-FR"/>
                  </w:rPr>
                </w:pPr>
                <w:r w:rsidRPr="00116F4A">
                  <w:rPr>
                    <w:lang w:val="fr-FR"/>
                  </w:rPr>
                  <w:t>16, rue de l'Université, 700115, Iassy, Roumanie</w:t>
                </w:r>
              </w:p>
              <w:p w:rsidR="003620AC" w:rsidRPr="00116F4A" w:rsidRDefault="00116F4A" w:rsidP="00116F4A">
                <w:pPr>
                  <w:pStyle w:val="ContactUMF"/>
                  <w:rPr>
                    <w:lang w:val="fr-FR"/>
                  </w:rPr>
                </w:pPr>
                <w:r w:rsidRPr="00116F4A">
                  <w:rPr>
                    <w:lang w:val="fr-FR"/>
                  </w:rPr>
                  <w:t>www.umfiasi.ro</w:t>
                </w:r>
              </w:p>
            </w:txbxContent>
          </v:textbox>
          <w10:wrap type="topAndBottom" anchorx="page" anchory="page"/>
          <w10:anchorlock/>
        </v:shape>
      </w:pict>
    </w:r>
    <w:r w:rsidR="00236D28">
      <w:rPr>
        <w:noProof/>
        <w:lang w:val="en-US"/>
      </w:rPr>
      <w:drawing>
        <wp:anchor distT="0" distB="0" distL="114300" distR="114300" simplePos="0" relativeHeight="251667456" behindDoc="0" locked="1" layoutInCell="1" allowOverlap="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_logo_umf_F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E2C4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620AC"/>
    <w:rsid w:val="00000541"/>
    <w:rsid w:val="00093E43"/>
    <w:rsid w:val="000F6B2B"/>
    <w:rsid w:val="00116F4A"/>
    <w:rsid w:val="00144E9A"/>
    <w:rsid w:val="0016335E"/>
    <w:rsid w:val="00171AC8"/>
    <w:rsid w:val="00183419"/>
    <w:rsid w:val="001A3839"/>
    <w:rsid w:val="001B1C17"/>
    <w:rsid w:val="00236D28"/>
    <w:rsid w:val="003529BE"/>
    <w:rsid w:val="003620AC"/>
    <w:rsid w:val="003F0037"/>
    <w:rsid w:val="00411DD8"/>
    <w:rsid w:val="00416344"/>
    <w:rsid w:val="00440425"/>
    <w:rsid w:val="00440601"/>
    <w:rsid w:val="00481103"/>
    <w:rsid w:val="0049528C"/>
    <w:rsid w:val="004D10DD"/>
    <w:rsid w:val="004D291C"/>
    <w:rsid w:val="00506F13"/>
    <w:rsid w:val="00532AF3"/>
    <w:rsid w:val="00557E4E"/>
    <w:rsid w:val="00567187"/>
    <w:rsid w:val="00581259"/>
    <w:rsid w:val="005B091D"/>
    <w:rsid w:val="005D2136"/>
    <w:rsid w:val="00634E52"/>
    <w:rsid w:val="006656BC"/>
    <w:rsid w:val="006960BD"/>
    <w:rsid w:val="0078171F"/>
    <w:rsid w:val="00784CC1"/>
    <w:rsid w:val="007A7C8C"/>
    <w:rsid w:val="007E1482"/>
    <w:rsid w:val="008A057E"/>
    <w:rsid w:val="008B46DF"/>
    <w:rsid w:val="008D2DC1"/>
    <w:rsid w:val="00963AA0"/>
    <w:rsid w:val="00973D0F"/>
    <w:rsid w:val="00992554"/>
    <w:rsid w:val="00A314B1"/>
    <w:rsid w:val="00A376C7"/>
    <w:rsid w:val="00AA6E5F"/>
    <w:rsid w:val="00AE2F39"/>
    <w:rsid w:val="00AF34AF"/>
    <w:rsid w:val="00B247BC"/>
    <w:rsid w:val="00B3370B"/>
    <w:rsid w:val="00BB2D23"/>
    <w:rsid w:val="00BE16F2"/>
    <w:rsid w:val="00C37DCE"/>
    <w:rsid w:val="00C77790"/>
    <w:rsid w:val="00CA6466"/>
    <w:rsid w:val="00D224ED"/>
    <w:rsid w:val="00DF7A82"/>
    <w:rsid w:val="00E02DFE"/>
    <w:rsid w:val="00E1418E"/>
    <w:rsid w:val="00E36BA8"/>
    <w:rsid w:val="00E5018B"/>
    <w:rsid w:val="00E51930"/>
    <w:rsid w:val="00E76664"/>
    <w:rsid w:val="00EB5461"/>
    <w:rsid w:val="00F455FA"/>
    <w:rsid w:val="00F50816"/>
    <w:rsid w:val="00F7774A"/>
    <w:rsid w:val="00F80F41"/>
    <w:rsid w:val="00F81788"/>
    <w:rsid w:val="00FE77BE"/>
    <w:rsid w:val="00FF2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MACCJ7WAEWV6-154108212-1072</_dlc_DocId>
    <_dlc_DocIdUrl xmlns="4c155583-69f9-458b-843e-56574a4bdc09">
      <Url>https://www.umfiasi.ro/ro/academic/programe-de-studii/licenta/_layouts/15/DocIdRedir.aspx?ID=MACCJ7WAEWV6-154108212-1072</Url>
      <Description>MACCJ7WAEWV6-154108212-1072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74DB3C-81FF-46C9-9A5B-83CF8724A43A}"/>
</file>

<file path=customXml/itemProps2.xml><?xml version="1.0" encoding="utf-8"?>
<ds:datastoreItem xmlns:ds="http://schemas.openxmlformats.org/officeDocument/2006/customXml" ds:itemID="{E4FEFF0A-BEB5-402C-92A5-37CA0E4FF8EC}"/>
</file>

<file path=customXml/itemProps3.xml><?xml version="1.0" encoding="utf-8"?>
<ds:datastoreItem xmlns:ds="http://schemas.openxmlformats.org/officeDocument/2006/customXml" ds:itemID="{874C7F4B-7FD1-4770-B572-B07BA4359D99}"/>
</file>

<file path=customXml/itemProps4.xml><?xml version="1.0" encoding="utf-8"?>
<ds:datastoreItem xmlns:ds="http://schemas.openxmlformats.org/officeDocument/2006/customXml" ds:itemID="{BC19B186-8407-4213-8DA6-445960B5AB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Anamaria</cp:lastModifiedBy>
  <cp:revision>12</cp:revision>
  <cp:lastPrinted>2016-08-25T08:29:00Z</cp:lastPrinted>
  <dcterms:created xsi:type="dcterms:W3CDTF">2020-05-08T09:26:00Z</dcterms:created>
  <dcterms:modified xsi:type="dcterms:W3CDTF">2020-05-11T08:42:00Z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a40919e7-f6c3-47f7-bcad-d0de7873c229</vt:lpwstr>
  </property>
</Properties>
</file>