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11"/>
      </w:tblGrid>
      <w:tr w:rsidR="00784CC1" w:rsidRPr="00B014D9" w14:paraId="1EDC1DF5" w14:textId="77777777" w:rsidTr="007A7C8C">
        <w:tc>
          <w:tcPr>
            <w:tcW w:w="3119" w:type="dxa"/>
          </w:tcPr>
          <w:p w14:paraId="4AD85354" w14:textId="77777777" w:rsidR="00784CC1" w:rsidRPr="00B014D9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Item-uri</w:t>
            </w:r>
          </w:p>
        </w:tc>
        <w:tc>
          <w:tcPr>
            <w:tcW w:w="6511" w:type="dxa"/>
          </w:tcPr>
          <w:p w14:paraId="68018F1C" w14:textId="77777777" w:rsidR="00784CC1" w:rsidRPr="00B014D9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Cerinţe</w:t>
            </w:r>
          </w:p>
        </w:tc>
      </w:tr>
      <w:tr w:rsidR="00FE77BE" w:rsidRPr="00B014D9" w14:paraId="30EAE849" w14:textId="77777777" w:rsidTr="007A7C8C">
        <w:trPr>
          <w:trHeight w:val="563"/>
        </w:trPr>
        <w:tc>
          <w:tcPr>
            <w:tcW w:w="3119" w:type="dxa"/>
          </w:tcPr>
          <w:p w14:paraId="7D761259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Titre du cours</w:t>
            </w:r>
          </w:p>
          <w:p w14:paraId="35AAD213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1" w:type="dxa"/>
          </w:tcPr>
          <w:p w14:paraId="7549F28C" w14:textId="1630C7B4" w:rsidR="00FE77BE" w:rsidRPr="00B014D9" w:rsidRDefault="00AF6E93" w:rsidP="007A7C8C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Cs/>
                <w:sz w:val="24"/>
                <w:szCs w:val="24"/>
              </w:rPr>
              <w:t>MEDECINE PARODONTALE</w:t>
            </w:r>
          </w:p>
        </w:tc>
      </w:tr>
      <w:tr w:rsidR="00FE77BE" w:rsidRPr="00B014D9" w14:paraId="5FDF8E08" w14:textId="77777777" w:rsidTr="007A7C8C">
        <w:tc>
          <w:tcPr>
            <w:tcW w:w="3119" w:type="dxa"/>
          </w:tcPr>
          <w:p w14:paraId="6628BF79" w14:textId="355C5CD0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Objectif</w:t>
            </w:r>
          </w:p>
        </w:tc>
        <w:tc>
          <w:tcPr>
            <w:tcW w:w="6511" w:type="dxa"/>
          </w:tcPr>
          <w:p w14:paraId="4446816A" w14:textId="16307A0E" w:rsidR="00FE77BE" w:rsidRPr="00B014D9" w:rsidRDefault="00AF6E93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L’étude d’implication des facteurs systémiques dans la maladie parodontale;  Le management diagnostique et thérapeutique complexe de la maladie parodontale chez les patients avec maladies systémiques</w:t>
            </w:r>
          </w:p>
        </w:tc>
      </w:tr>
      <w:tr w:rsidR="00FE77BE" w:rsidRPr="00B014D9" w14:paraId="03B073BA" w14:textId="77777777" w:rsidTr="007A7C8C">
        <w:tc>
          <w:tcPr>
            <w:tcW w:w="3119" w:type="dxa"/>
          </w:tcPr>
          <w:p w14:paraId="1E58B089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Group ciblé </w:t>
            </w:r>
          </w:p>
        </w:tc>
        <w:tc>
          <w:tcPr>
            <w:tcW w:w="6511" w:type="dxa"/>
          </w:tcPr>
          <w:p w14:paraId="4B793343" w14:textId="1A9DCB65" w:rsidR="00FE77BE" w:rsidRPr="00B014D9" w:rsidRDefault="009A7311" w:rsidP="009A73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MD-</w:t>
            </w:r>
            <w:r w:rsidR="00AF6E93" w:rsidRPr="00B014D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498" w:rsidRPr="00B014D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</w:tr>
      <w:tr w:rsidR="00FE77BE" w:rsidRPr="00B014D9" w14:paraId="3340FA9D" w14:textId="77777777" w:rsidTr="007A7C8C">
        <w:tc>
          <w:tcPr>
            <w:tcW w:w="3119" w:type="dxa"/>
          </w:tcPr>
          <w:p w14:paraId="235446A4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6511" w:type="dxa"/>
          </w:tcPr>
          <w:p w14:paraId="7326D186" w14:textId="36E086A9" w:rsidR="00FE77BE" w:rsidRPr="00B014D9" w:rsidRDefault="00F94827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FE77BE" w:rsidRPr="00B014D9" w14:paraId="010FCBD3" w14:textId="77777777" w:rsidTr="007A7C8C">
        <w:tc>
          <w:tcPr>
            <w:tcW w:w="3119" w:type="dxa"/>
          </w:tcPr>
          <w:p w14:paraId="5EDB3977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Thématique proposée</w:t>
            </w:r>
          </w:p>
        </w:tc>
        <w:tc>
          <w:tcPr>
            <w:tcW w:w="6511" w:type="dxa"/>
          </w:tcPr>
          <w:p w14:paraId="65928560" w14:textId="132353A2" w:rsidR="00C97F72" w:rsidRPr="00B014D9" w:rsidRDefault="00C97F72" w:rsidP="0045626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L’évolution du concept parodontal – le concept de la médecine </w:t>
            </w:r>
            <w:r w:rsidR="00B014D9" w:rsidRPr="00B014D9">
              <w:rPr>
                <w:rFonts w:ascii="Times New Roman" w:hAnsi="Times New Roman" w:cs="Times New Roman"/>
                <w:sz w:val="24"/>
                <w:szCs w:val="24"/>
              </w:rPr>
              <w:t>parodontale ;</w:t>
            </w:r>
            <w:r w:rsidR="007C5E1A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’ethiopatogenie de la maladie parodontale – la théorie inflammatoire</w:t>
            </w:r>
            <w:r w:rsidR="00112DF4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(2h)</w:t>
            </w:r>
          </w:p>
          <w:p w14:paraId="28C2B98A" w14:textId="5E3E28D3" w:rsidR="00C97F72" w:rsidRPr="00B014D9" w:rsidRDefault="00C97F72" w:rsidP="0045626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Relation maladie parodontale – maladies cardiovasculaires</w:t>
            </w:r>
            <w:r w:rsidR="00112DF4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(2h)</w:t>
            </w:r>
          </w:p>
          <w:p w14:paraId="375EB69C" w14:textId="4E75530F" w:rsidR="00C97F72" w:rsidRPr="00B014D9" w:rsidRDefault="00C97F72" w:rsidP="0045626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Relation maladie parodontale – troubles hormonaux</w:t>
            </w:r>
            <w:r w:rsidR="00112DF4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(2h)</w:t>
            </w:r>
          </w:p>
          <w:p w14:paraId="606FE41B" w14:textId="50C39EAB" w:rsidR="007C5E1A" w:rsidRPr="00B014D9" w:rsidRDefault="007C5E1A" w:rsidP="0045626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Relation maladie parodontale – naissance prématuré, petit poids</w:t>
            </w:r>
            <w:r w:rsidR="00112DF4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(2h)</w:t>
            </w:r>
          </w:p>
          <w:p w14:paraId="13A1DC4B" w14:textId="676CBA5F" w:rsidR="00C97F72" w:rsidRPr="00B014D9" w:rsidRDefault="00C97F72" w:rsidP="0045626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Relation maladie parodontale – syndrome métabolique</w:t>
            </w:r>
            <w:r w:rsidR="00112DF4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(2h)</w:t>
            </w:r>
          </w:p>
          <w:p w14:paraId="6FCE817F" w14:textId="3ACE0062" w:rsidR="00C97F72" w:rsidRPr="00B014D9" w:rsidRDefault="00C97F72" w:rsidP="0045626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Relation maladie parodontale – diabète sucré</w:t>
            </w:r>
            <w:r w:rsidR="00112DF4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(2h)</w:t>
            </w:r>
          </w:p>
          <w:p w14:paraId="61D34520" w14:textId="4AA017D4" w:rsidR="00C97F72" w:rsidRPr="00B014D9" w:rsidRDefault="007C5E1A" w:rsidP="0045626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Le rôle du médecin dans le management de la relation maladie parodontale – maladies générales</w:t>
            </w:r>
            <w:r w:rsidR="00112DF4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(2h)</w:t>
            </w:r>
          </w:p>
        </w:tc>
      </w:tr>
      <w:tr w:rsidR="00FE77BE" w:rsidRPr="00B014D9" w14:paraId="05B238B2" w14:textId="77777777" w:rsidTr="00432937">
        <w:trPr>
          <w:trHeight w:val="1676"/>
        </w:trPr>
        <w:tc>
          <w:tcPr>
            <w:tcW w:w="3119" w:type="dxa"/>
          </w:tcPr>
          <w:p w14:paraId="7F0D8E25" w14:textId="4790499A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Bibliographie</w:t>
            </w:r>
          </w:p>
        </w:tc>
        <w:tc>
          <w:tcPr>
            <w:tcW w:w="6511" w:type="dxa"/>
          </w:tcPr>
          <w:p w14:paraId="7F973264" w14:textId="0044FB8C" w:rsidR="00432937" w:rsidRPr="00B014D9" w:rsidRDefault="00432937" w:rsidP="00432937">
            <w:pPr>
              <w:pStyle w:val="ECVSectionBulle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lang w:val="fr-FR"/>
              </w:rPr>
            </w:pPr>
            <w:r w:rsidRPr="00B014D9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 xml:space="preserve">”PROPÉDEUTIQUE PARODONTALE – GUIDE PRATIQUE” – Maison </w:t>
            </w:r>
            <w:r w:rsidR="00B014D9" w:rsidRPr="00B014D9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>d’édition “</w:t>
            </w:r>
            <w:r w:rsidRPr="00B014D9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>Gr.T.Popa”, Iași, 2014, ISSN 978-606-544-227-6 Auteurs: Silvia Mârțu, Liliana Păsărin, Irina Ursărescu</w:t>
            </w:r>
          </w:p>
          <w:p w14:paraId="66752E3F" w14:textId="2A408259" w:rsidR="00432937" w:rsidRPr="00B014D9" w:rsidRDefault="00432937" w:rsidP="0043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Lindhe J – Clinical periodonto</w:t>
            </w:r>
            <w:r w:rsidR="008A5771">
              <w:rPr>
                <w:rFonts w:ascii="Times New Roman" w:hAnsi="Times New Roman" w:cs="Times New Roman"/>
                <w:sz w:val="24"/>
                <w:szCs w:val="24"/>
              </w:rPr>
              <w:t>logy and implant dentistry, 2015</w:t>
            </w:r>
          </w:p>
          <w:p w14:paraId="20BCCA86" w14:textId="75BED0EC" w:rsidR="00432937" w:rsidRPr="00B014D9" w:rsidRDefault="00432937" w:rsidP="00EF4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Mattout C – Les thérapeutiques parodontales et implantaires, Quitesance, 2003</w:t>
            </w:r>
          </w:p>
        </w:tc>
      </w:tr>
      <w:tr w:rsidR="00FE77BE" w:rsidRPr="00B014D9" w14:paraId="08FB441F" w14:textId="77777777" w:rsidTr="007A7C8C">
        <w:tc>
          <w:tcPr>
            <w:tcW w:w="3119" w:type="dxa"/>
          </w:tcPr>
          <w:p w14:paraId="250B6D12" w14:textId="3AAC041D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Compétences professionnelles</w:t>
            </w:r>
          </w:p>
        </w:tc>
        <w:tc>
          <w:tcPr>
            <w:tcW w:w="6511" w:type="dxa"/>
          </w:tcPr>
          <w:p w14:paraId="0341427B" w14:textId="526BD157" w:rsidR="00341148" w:rsidRPr="009A7311" w:rsidRDefault="009A7311" w:rsidP="009A731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41148" w:rsidRPr="009A7311">
              <w:rPr>
                <w:rFonts w:ascii="Times New Roman" w:hAnsi="Times New Roman" w:cs="Times New Roman"/>
                <w:bCs/>
                <w:sz w:val="24"/>
                <w:szCs w:val="24"/>
              </w:rPr>
              <w:t>Le management complexe, interdisciplinaire, du patient avec maladies parodontale et systémiques</w:t>
            </w:r>
          </w:p>
          <w:p w14:paraId="15F291DE" w14:textId="52186CC2" w:rsidR="00341148" w:rsidRPr="009A7311" w:rsidRDefault="009A7311" w:rsidP="009A731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41148" w:rsidRPr="009A7311">
              <w:rPr>
                <w:rFonts w:ascii="Times New Roman" w:hAnsi="Times New Roman" w:cs="Times New Roman"/>
                <w:bCs/>
                <w:sz w:val="24"/>
                <w:szCs w:val="24"/>
              </w:rPr>
              <w:t>Exprimer la préoccupation pour perfectionner les abilités professionnelles</w:t>
            </w:r>
          </w:p>
          <w:p w14:paraId="26F10FE3" w14:textId="75EE48D8" w:rsidR="00FE77BE" w:rsidRPr="009A7311" w:rsidRDefault="009A7311" w:rsidP="009A731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41148" w:rsidRPr="009A7311">
              <w:rPr>
                <w:rFonts w:ascii="Times New Roman" w:hAnsi="Times New Roman" w:cs="Times New Roman"/>
                <w:bCs/>
                <w:sz w:val="24"/>
                <w:szCs w:val="24"/>
              </w:rPr>
              <w:t>Participation dans les projets scientifiq</w:t>
            </w:r>
            <w:bookmarkStart w:id="0" w:name="_GoBack"/>
            <w:bookmarkEnd w:id="0"/>
            <w:r w:rsidR="00341148" w:rsidRPr="009A7311">
              <w:rPr>
                <w:rFonts w:ascii="Times New Roman" w:hAnsi="Times New Roman" w:cs="Times New Roman"/>
                <w:bCs/>
                <w:sz w:val="24"/>
                <w:szCs w:val="24"/>
              </w:rPr>
              <w:t>ues, compatibles avec les demandes de l’intégration dans l’enseignement européen</w:t>
            </w:r>
          </w:p>
        </w:tc>
      </w:tr>
      <w:tr w:rsidR="00FE77BE" w:rsidRPr="00B014D9" w14:paraId="416D9E70" w14:textId="77777777" w:rsidTr="007A7C8C">
        <w:tc>
          <w:tcPr>
            <w:tcW w:w="3119" w:type="dxa"/>
          </w:tcPr>
          <w:p w14:paraId="2A7105C5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Méthodes d`enseignement et matériaux de cours</w:t>
            </w:r>
          </w:p>
        </w:tc>
        <w:tc>
          <w:tcPr>
            <w:tcW w:w="6511" w:type="dxa"/>
          </w:tcPr>
          <w:p w14:paraId="4CF72C5C" w14:textId="6D11C6DC" w:rsidR="00FE77BE" w:rsidRPr="00B014D9" w:rsidRDefault="00341148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Présentation électronique (MS PowerPoint)</w:t>
            </w:r>
          </w:p>
        </w:tc>
      </w:tr>
      <w:tr w:rsidR="00FE77BE" w:rsidRPr="00B014D9" w14:paraId="05AF3DAF" w14:textId="77777777" w:rsidTr="007A7C8C">
        <w:tc>
          <w:tcPr>
            <w:tcW w:w="3119" w:type="dxa"/>
          </w:tcPr>
          <w:p w14:paraId="25640070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Responsable de cours</w:t>
            </w:r>
          </w:p>
        </w:tc>
        <w:tc>
          <w:tcPr>
            <w:tcW w:w="6511" w:type="dxa"/>
          </w:tcPr>
          <w:p w14:paraId="087182B0" w14:textId="45D77810" w:rsidR="00FE77BE" w:rsidRPr="00B014D9" w:rsidRDefault="00341148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Lect. Univ. Dr. Irina-Georgeta Sufaru</w:t>
            </w:r>
            <w:r w:rsidR="00FE77BE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7BE" w:rsidRPr="00B014D9" w14:paraId="78D8C416" w14:textId="77777777" w:rsidTr="00341148">
        <w:trPr>
          <w:trHeight w:val="866"/>
        </w:trPr>
        <w:tc>
          <w:tcPr>
            <w:tcW w:w="3119" w:type="dxa"/>
          </w:tcPr>
          <w:p w14:paraId="2EDE0857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Lecteurs associés </w:t>
            </w:r>
          </w:p>
        </w:tc>
        <w:tc>
          <w:tcPr>
            <w:tcW w:w="6511" w:type="dxa"/>
          </w:tcPr>
          <w:p w14:paraId="16F2BA10" w14:textId="70F66588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Lectori din acelaşi departament sau departamente diferite şi invitaţi care nu sunt normaţi dar desfăşoară aceasta activitate la solicitarea responsabilului de curs.</w:t>
            </w:r>
          </w:p>
        </w:tc>
      </w:tr>
      <w:tr w:rsidR="00FE77BE" w:rsidRPr="00B014D9" w14:paraId="61E6F708" w14:textId="77777777" w:rsidTr="007A7C8C">
        <w:tc>
          <w:tcPr>
            <w:tcW w:w="3119" w:type="dxa"/>
          </w:tcPr>
          <w:p w14:paraId="2EE77CC0" w14:textId="77777777" w:rsidR="00FE77BE" w:rsidRPr="00B014D9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Mots clés</w:t>
            </w:r>
          </w:p>
        </w:tc>
        <w:tc>
          <w:tcPr>
            <w:tcW w:w="6511" w:type="dxa"/>
          </w:tcPr>
          <w:p w14:paraId="01A995DD" w14:textId="597A0873" w:rsidR="00FE77BE" w:rsidRPr="00B014D9" w:rsidRDefault="00973D5D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Maladie parodontale, maladies </w:t>
            </w:r>
            <w:r w:rsidR="00B014D9" w:rsidRPr="00B014D9">
              <w:rPr>
                <w:rFonts w:ascii="Times New Roman" w:hAnsi="Times New Roman" w:cs="Times New Roman"/>
                <w:sz w:val="24"/>
                <w:szCs w:val="24"/>
              </w:rPr>
              <w:t>systémiques</w:t>
            </w: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4D9" w:rsidRPr="00B014D9">
              <w:rPr>
                <w:rFonts w:ascii="Times New Roman" w:hAnsi="Times New Roman" w:cs="Times New Roman"/>
                <w:sz w:val="24"/>
                <w:szCs w:val="24"/>
              </w:rPr>
              <w:t>interdisciplinarité</w:t>
            </w:r>
            <w:r w:rsidR="00FE77BE" w:rsidRPr="00B0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C8005A" w14:textId="48CD577B" w:rsidR="00A314B1" w:rsidRPr="00B014D9" w:rsidRDefault="007A7C8C" w:rsidP="007A7C8C">
      <w:pPr>
        <w:jc w:val="center"/>
        <w:rPr>
          <w:rFonts w:ascii="Times New Roman" w:hAnsi="Times New Roman" w:cs="Times New Roman"/>
          <w:b/>
          <w:sz w:val="24"/>
        </w:rPr>
      </w:pPr>
      <w:r w:rsidRPr="00B014D9">
        <w:rPr>
          <w:rFonts w:ascii="Times New Roman" w:hAnsi="Times New Roman" w:cs="Times New Roman"/>
          <w:b/>
          <w:sz w:val="24"/>
        </w:rPr>
        <w:t>MATIERES A OPTION</w:t>
      </w:r>
    </w:p>
    <w:p w14:paraId="33406772" w14:textId="01D22AED" w:rsidR="007A7C8C" w:rsidRPr="00B014D9" w:rsidRDefault="007A7C8C" w:rsidP="007A7C8C">
      <w:pPr>
        <w:jc w:val="center"/>
        <w:rPr>
          <w:rFonts w:ascii="Times New Roman" w:hAnsi="Times New Roman" w:cs="Times New Roman"/>
          <w:b/>
          <w:sz w:val="24"/>
        </w:rPr>
      </w:pPr>
      <w:r w:rsidRPr="00B014D9">
        <w:rPr>
          <w:rFonts w:ascii="Times New Roman" w:hAnsi="Times New Roman" w:cs="Times New Roman"/>
          <w:b/>
          <w:sz w:val="24"/>
        </w:rPr>
        <w:t>ANNEE UNIVERSITAIRE 20</w:t>
      </w:r>
      <w:r w:rsidR="00F80F41" w:rsidRPr="00B014D9">
        <w:rPr>
          <w:rFonts w:ascii="Times New Roman" w:hAnsi="Times New Roman" w:cs="Times New Roman"/>
          <w:b/>
          <w:sz w:val="24"/>
        </w:rPr>
        <w:t>20</w:t>
      </w:r>
      <w:r w:rsidRPr="00B014D9">
        <w:rPr>
          <w:rFonts w:ascii="Times New Roman" w:hAnsi="Times New Roman" w:cs="Times New Roman"/>
          <w:b/>
          <w:sz w:val="24"/>
        </w:rPr>
        <w:t>-20</w:t>
      </w:r>
      <w:r w:rsidR="00481103" w:rsidRPr="00B014D9">
        <w:rPr>
          <w:rFonts w:ascii="Times New Roman" w:hAnsi="Times New Roman" w:cs="Times New Roman"/>
          <w:b/>
          <w:sz w:val="24"/>
        </w:rPr>
        <w:t>2</w:t>
      </w:r>
      <w:r w:rsidR="00F80F41" w:rsidRPr="00B014D9">
        <w:rPr>
          <w:rFonts w:ascii="Times New Roman" w:hAnsi="Times New Roman" w:cs="Times New Roman"/>
          <w:b/>
          <w:sz w:val="24"/>
        </w:rPr>
        <w:t>1</w:t>
      </w:r>
    </w:p>
    <w:sectPr w:rsidR="007A7C8C" w:rsidRPr="00B014D9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5DEDF" w14:textId="77777777" w:rsidR="00F577A1" w:rsidRDefault="00F577A1" w:rsidP="003620AC">
      <w:pPr>
        <w:spacing w:line="240" w:lineRule="auto"/>
      </w:pPr>
      <w:r>
        <w:separator/>
      </w:r>
    </w:p>
  </w:endnote>
  <w:endnote w:type="continuationSeparator" w:id="0">
    <w:p w14:paraId="3BB7CBA8" w14:textId="77777777" w:rsidR="00F577A1" w:rsidRDefault="00F577A1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5F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2C80062" wp14:editId="72C8006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4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B3498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8B349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72C80074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B3498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</w:t>
                    </w:r>
                    <w:r w:rsidR="00D224ED">
                      <w:t>e</w:t>
                    </w:r>
                    <w:r>
                      <w:t xml:space="preserve"> </w:t>
                    </w:r>
                    <w:fldSimple w:instr=" NUMPAGES   \* MERGEFORMAT ">
                      <w:r w:rsidR="008B349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61" w14:textId="7C1F8DF3" w:rsidR="0049528C" w:rsidRDefault="00E1418E">
    <w:pPr>
      <w:pStyle w:val="Footer"/>
    </w:pPr>
    <w:r>
      <w:rPr>
        <w:noProof/>
        <w:lang w:val="en-US"/>
      </w:rPr>
      <w:drawing>
        <wp:anchor distT="0" distB="0" distL="114300" distR="114300" simplePos="0" relativeHeight="251669504" behindDoc="0" locked="1" layoutInCell="1" allowOverlap="1" wp14:anchorId="619595FE" wp14:editId="6F9B06F4">
          <wp:simplePos x="0" y="0"/>
          <wp:positionH relativeFrom="page">
            <wp:posOffset>1038225</wp:posOffset>
          </wp:positionH>
          <wp:positionV relativeFrom="page">
            <wp:posOffset>8950960</wp:posOffset>
          </wp:positionV>
          <wp:extent cx="1162050" cy="1231265"/>
          <wp:effectExtent l="0" t="0" r="0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23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2C8006E" wp14:editId="0A9F575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8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A731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D224ED">
                            <w:t>de</w:t>
                          </w:r>
                          <w:r>
                            <w:t xml:space="preserve"> </w:t>
                          </w:r>
                          <w:r w:rsidR="00F577A1">
                            <w:fldChar w:fldCharType="begin"/>
                          </w:r>
                          <w:r w:rsidR="00F577A1">
                            <w:instrText xml:space="preserve"> NUMPAGES   \* MERGEFORMAT </w:instrText>
                          </w:r>
                          <w:r w:rsidR="00F577A1">
                            <w:fldChar w:fldCharType="separate"/>
                          </w:r>
                          <w:r w:rsidR="009A7311">
                            <w:rPr>
                              <w:noProof/>
                            </w:rPr>
                            <w:t>1</w:t>
                          </w:r>
                          <w:r w:rsidR="00F577A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72C80078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A731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D224ED">
                      <w:t>de</w:t>
                    </w:r>
                    <w:r>
                      <w:t xml:space="preserve"> </w:t>
                    </w:r>
                    <w:r w:rsidR="00F577A1">
                      <w:fldChar w:fldCharType="begin"/>
                    </w:r>
                    <w:r w:rsidR="00F577A1">
                      <w:instrText xml:space="preserve"> NUMPAGES   \* MERGEFORMAT </w:instrText>
                    </w:r>
                    <w:r w:rsidR="00F577A1">
                      <w:fldChar w:fldCharType="separate"/>
                    </w:r>
                    <w:r w:rsidR="009A7311">
                      <w:rPr>
                        <w:noProof/>
                      </w:rPr>
                      <w:t>1</w:t>
                    </w:r>
                    <w:r w:rsidR="00F577A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2C80070" wp14:editId="72C8007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 xmlns:mv="urn:schemas-microsoft-com:mac:vml" xmlns:mo="http://schemas.microsoft.com/office/mac/office/2008/main">
          <w:pict>
            <v:rect w14:anchorId="3EFBB27C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2C80072" wp14:editId="72C80073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20CFB" w14:textId="77777777" w:rsidR="00E1418E" w:rsidRDefault="00E1418E" w:rsidP="00E1418E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64C8B1FA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0260B7E3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72C8007B" w14:textId="2966A033" w:rsidR="0049528C" w:rsidRDefault="0049528C" w:rsidP="005B091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6520CFB" w14:textId="77777777" w:rsidR="00E1418E" w:rsidRDefault="00E1418E" w:rsidP="00E1418E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64C8B1FA" w14:textId="77777777" w:rsidR="00E1418E" w:rsidRDefault="00E1418E" w:rsidP="00E1418E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0260B7E3" w14:textId="77777777" w:rsidR="00E1418E" w:rsidRDefault="00E1418E" w:rsidP="00E1418E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72C8007B" w14:textId="2966A033" w:rsidR="0049528C" w:rsidRDefault="0049528C" w:rsidP="005B091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4C80E" w14:textId="77777777" w:rsidR="00F577A1" w:rsidRDefault="00F577A1" w:rsidP="003620AC">
      <w:pPr>
        <w:spacing w:line="240" w:lineRule="auto"/>
      </w:pPr>
      <w:r>
        <w:separator/>
      </w:r>
    </w:p>
  </w:footnote>
  <w:footnote w:type="continuationSeparator" w:id="0">
    <w:p w14:paraId="07C24F04" w14:textId="77777777" w:rsidR="00F577A1" w:rsidRDefault="00F577A1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60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2C80064" wp14:editId="72C8006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 xmlns:mv="urn:schemas-microsoft-com:mac:vml" xmlns:mo="http://schemas.microsoft.com/office/mac/office/2008/main">
          <w:pict>
            <v:rect w14:anchorId="535CAE6A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C80066" wp14:editId="72C80067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5" w14:textId="622308CB" w:rsidR="000F6B2B" w:rsidRPr="00116F4A" w:rsidRDefault="00116F4A" w:rsidP="000F6B2B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MINISTÈRE DE L'ÉDUCATION </w:t>
                          </w:r>
                          <w:r w:rsidR="00F80F41">
                            <w:rPr>
                              <w:lang w:val="fr-FR"/>
                            </w:rPr>
                            <w:t>ET DE LA RECHERCHE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72C80075" w14:textId="622308CB" w:rsidR="000F6B2B" w:rsidRPr="00116F4A" w:rsidRDefault="00116F4A" w:rsidP="000F6B2B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MINISTÈRE DE L'ÉDUCATION </w:t>
                    </w:r>
                    <w:r w:rsidR="00F80F41">
                      <w:rPr>
                        <w:lang w:val="fr-FR"/>
                      </w:rPr>
                      <w:t>ET DE LA RECHERCHE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2C80068" wp14:editId="72C8006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6" w14:textId="77777777" w:rsidR="00116F4A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16, rue de l'Université, 700115, Iassy, Roumanie</w:t>
                          </w:r>
                        </w:p>
                        <w:p w14:paraId="72C80077" w14:textId="77777777" w:rsidR="003620AC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72C80076" w14:textId="77777777" w:rsidR="00116F4A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16, rue de l'Université, 700115, Iassy, Roumanie</w:t>
                    </w:r>
                  </w:p>
                  <w:p w14:paraId="72C80077" w14:textId="77777777" w:rsidR="003620AC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236D28">
      <w:rPr>
        <w:noProof/>
        <w:lang w:val="en-US"/>
      </w:rPr>
      <w:drawing>
        <wp:anchor distT="0" distB="0" distL="114300" distR="114300" simplePos="0" relativeHeight="251667456" behindDoc="0" locked="1" layoutInCell="1" allowOverlap="1" wp14:anchorId="72C8006A" wp14:editId="72C8006B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5A21"/>
    <w:multiLevelType w:val="hybridMultilevel"/>
    <w:tmpl w:val="E0886A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4165B"/>
    <w:multiLevelType w:val="hybridMultilevel"/>
    <w:tmpl w:val="B34C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0A2D6A"/>
    <w:multiLevelType w:val="hybridMultilevel"/>
    <w:tmpl w:val="DD20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CF57CFF"/>
    <w:multiLevelType w:val="hybridMultilevel"/>
    <w:tmpl w:val="EA988FB6"/>
    <w:lvl w:ilvl="0" w:tplc="D4A09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26E4"/>
    <w:multiLevelType w:val="hybridMultilevel"/>
    <w:tmpl w:val="6B3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683B26"/>
    <w:multiLevelType w:val="hybridMultilevel"/>
    <w:tmpl w:val="9F587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541"/>
    <w:rsid w:val="0007782B"/>
    <w:rsid w:val="000F6B2B"/>
    <w:rsid w:val="00112DF4"/>
    <w:rsid w:val="00116F4A"/>
    <w:rsid w:val="00144E9A"/>
    <w:rsid w:val="00171AC8"/>
    <w:rsid w:val="00183419"/>
    <w:rsid w:val="001A3839"/>
    <w:rsid w:val="00236D28"/>
    <w:rsid w:val="00256639"/>
    <w:rsid w:val="00341148"/>
    <w:rsid w:val="003529BE"/>
    <w:rsid w:val="003620AC"/>
    <w:rsid w:val="003F0037"/>
    <w:rsid w:val="00411DD8"/>
    <w:rsid w:val="00416344"/>
    <w:rsid w:val="00432937"/>
    <w:rsid w:val="00440601"/>
    <w:rsid w:val="00456266"/>
    <w:rsid w:val="00481103"/>
    <w:rsid w:val="0049528C"/>
    <w:rsid w:val="004D10DD"/>
    <w:rsid w:val="00506F13"/>
    <w:rsid w:val="00557E4E"/>
    <w:rsid w:val="00567187"/>
    <w:rsid w:val="00581259"/>
    <w:rsid w:val="005B091D"/>
    <w:rsid w:val="005D2136"/>
    <w:rsid w:val="006960BD"/>
    <w:rsid w:val="0078171F"/>
    <w:rsid w:val="00784CC1"/>
    <w:rsid w:val="007A7C8C"/>
    <w:rsid w:val="007C5E1A"/>
    <w:rsid w:val="007F1062"/>
    <w:rsid w:val="008A5771"/>
    <w:rsid w:val="008B3498"/>
    <w:rsid w:val="008D2DC1"/>
    <w:rsid w:val="00963AA0"/>
    <w:rsid w:val="00973D0F"/>
    <w:rsid w:val="00973D5D"/>
    <w:rsid w:val="00992554"/>
    <w:rsid w:val="009A7311"/>
    <w:rsid w:val="00A314B1"/>
    <w:rsid w:val="00A6738D"/>
    <w:rsid w:val="00AE2F39"/>
    <w:rsid w:val="00AF6E93"/>
    <w:rsid w:val="00B014D9"/>
    <w:rsid w:val="00B247BC"/>
    <w:rsid w:val="00B3370B"/>
    <w:rsid w:val="00BB2D23"/>
    <w:rsid w:val="00BE16F2"/>
    <w:rsid w:val="00C37DCE"/>
    <w:rsid w:val="00C77790"/>
    <w:rsid w:val="00C97F72"/>
    <w:rsid w:val="00CA6466"/>
    <w:rsid w:val="00D224ED"/>
    <w:rsid w:val="00E02DFE"/>
    <w:rsid w:val="00E1418E"/>
    <w:rsid w:val="00E5018B"/>
    <w:rsid w:val="00E76664"/>
    <w:rsid w:val="00EB5461"/>
    <w:rsid w:val="00EF45D5"/>
    <w:rsid w:val="00F577A1"/>
    <w:rsid w:val="00F80F41"/>
    <w:rsid w:val="00F81788"/>
    <w:rsid w:val="00F94827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80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7C5E1A"/>
    <w:pPr>
      <w:ind w:left="720"/>
      <w:contextualSpacing/>
    </w:pPr>
  </w:style>
  <w:style w:type="paragraph" w:customStyle="1" w:styleId="ECVSectionBullet">
    <w:name w:val="_ECV_SectionBullet"/>
    <w:basedOn w:val="Normal"/>
    <w:rsid w:val="00432937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7C5E1A"/>
    <w:pPr>
      <w:ind w:left="720"/>
      <w:contextualSpacing/>
    </w:pPr>
  </w:style>
  <w:style w:type="paragraph" w:customStyle="1" w:styleId="ECVSectionBullet">
    <w:name w:val="_ECV_SectionBullet"/>
    <w:basedOn w:val="Normal"/>
    <w:rsid w:val="00432937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MACCJ7WAEWV6-154108212-1068</_dlc_DocId>
    <_dlc_DocIdUrl xmlns="4c155583-69f9-458b-843e-56574a4bdc09">
      <Url>https://www.umfiasi.ro/ro/academic/programe-de-studii/licenta/_layouts/15/DocIdRedir.aspx?ID=MACCJ7WAEWV6-154108212-1068</Url>
      <Description>MACCJ7WAEWV6-154108212-1068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9310-7CE4-4F5B-81C1-646A91F123B1}"/>
</file>

<file path=customXml/itemProps2.xml><?xml version="1.0" encoding="utf-8"?>
<ds:datastoreItem xmlns:ds="http://schemas.openxmlformats.org/officeDocument/2006/customXml" ds:itemID="{E4FEFF0A-BEB5-402C-92A5-37CA0E4FF8EC}"/>
</file>

<file path=customXml/itemProps3.xml><?xml version="1.0" encoding="utf-8"?>
<ds:datastoreItem xmlns:ds="http://schemas.openxmlformats.org/officeDocument/2006/customXml" ds:itemID="{874C7F4B-7FD1-4770-B572-B07BA4359D99}"/>
</file>

<file path=customXml/itemProps4.xml><?xml version="1.0" encoding="utf-8"?>
<ds:datastoreItem xmlns:ds="http://schemas.openxmlformats.org/officeDocument/2006/customXml" ds:itemID="{51E03814-636B-417A-9852-202590FA8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UMF, Rectorat</vt:lpstr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user</cp:lastModifiedBy>
  <cp:revision>16</cp:revision>
  <cp:lastPrinted>2016-08-25T08:29:00Z</cp:lastPrinted>
  <dcterms:created xsi:type="dcterms:W3CDTF">2019-04-03T07:04:00Z</dcterms:created>
  <dcterms:modified xsi:type="dcterms:W3CDTF">2020-05-07T15:37:00Z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f5bd43c3-3715-424a-9b72-ad2e10b11514</vt:lpwstr>
  </property>
</Properties>
</file>