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9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SYLLABUS</w:t>
      </w:r>
    </w:p>
    <w:p w:rsidR="00135259" w:rsidRPr="00DD2BC5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</w:p>
    <w:p w:rsidR="00135259" w:rsidRPr="00DD2BC5" w:rsidRDefault="00135259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Programme Details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135259" w:rsidRPr="00DD2BC5" w:rsidTr="007046B1">
        <w:tc>
          <w:tcPr>
            <w:tcW w:w="1260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5E5618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GRIGORE T. POPA UNIVERSITY OF MEDICINE AND PHARMACY IASI</w:t>
            </w:r>
          </w:p>
        </w:tc>
      </w:tr>
      <w:tr w:rsidR="00135259" w:rsidRPr="00DD2BC5" w:rsidTr="007046B1">
        <w:tc>
          <w:tcPr>
            <w:tcW w:w="1260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t xml:space="preserve">FACULTY : MEDICINE </w:t>
            </w:r>
            <w:r w:rsidRPr="00DD2BC5">
              <w:rPr>
                <w:b/>
                <w:bCs/>
              </w:rPr>
              <w:t>/ DEPARTMENT</w:t>
            </w:r>
            <w:r>
              <w:rPr>
                <w:b/>
                <w:bCs/>
              </w:rPr>
              <w:t xml:space="preserve">: </w:t>
            </w:r>
            <w:r w:rsidR="0059015B">
              <w:rPr>
                <w:b/>
                <w:bCs/>
              </w:rPr>
              <w:t>SURGERY II</w:t>
            </w:r>
          </w:p>
        </w:tc>
      </w:tr>
      <w:tr w:rsidR="00135259" w:rsidRPr="00DD2BC5" w:rsidTr="007046B1">
        <w:tc>
          <w:tcPr>
            <w:tcW w:w="1260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DISCIPLIN</w:t>
            </w:r>
            <w:r>
              <w:rPr>
                <w:b/>
                <w:bCs/>
              </w:rPr>
              <w:t xml:space="preserve">E: </w:t>
            </w:r>
            <w:r w:rsidR="0059015B">
              <w:rPr>
                <w:b/>
                <w:bCs/>
              </w:rPr>
              <w:t>ENT</w:t>
            </w:r>
          </w:p>
        </w:tc>
      </w:tr>
      <w:tr w:rsidR="00135259" w:rsidRPr="00DD2BC5" w:rsidTr="007046B1">
        <w:tc>
          <w:tcPr>
            <w:tcW w:w="1260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FIELD of STUDY:</w:t>
            </w:r>
            <w:r w:rsidR="0059015B">
              <w:rPr>
                <w:b/>
                <w:bCs/>
              </w:rPr>
              <w:t xml:space="preserve"> MEDICINE</w:t>
            </w:r>
          </w:p>
        </w:tc>
      </w:tr>
      <w:tr w:rsidR="00135259" w:rsidRPr="00DD2BC5" w:rsidTr="007046B1">
        <w:tc>
          <w:tcPr>
            <w:tcW w:w="1260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STUDY CYCLE: BACHELOR  </w:t>
            </w:r>
          </w:p>
        </w:tc>
      </w:tr>
      <w:tr w:rsidR="00135259" w:rsidRPr="00DD2BC5" w:rsidTr="007046B1">
        <w:tc>
          <w:tcPr>
            <w:tcW w:w="1260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PROGRAM</w:t>
            </w:r>
            <w:r>
              <w:rPr>
                <w:b/>
                <w:bCs/>
              </w:rPr>
              <w:t xml:space="preserve">ME of STUDY: English </w:t>
            </w:r>
          </w:p>
        </w:tc>
      </w:tr>
      <w:tr w:rsidR="00135259" w:rsidRPr="00DD2BC5" w:rsidTr="007046B1">
        <w:tc>
          <w:tcPr>
            <w:tcW w:w="10785" w:type="dxa"/>
            <w:gridSpan w:val="9"/>
            <w:tcBorders>
              <w:left w:val="nil"/>
              <w:right w:val="nil"/>
            </w:tcBorders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  <w:p w:rsidR="00135259" w:rsidRPr="00DD2BC5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Discipline Details</w:t>
            </w:r>
          </w:p>
        </w:tc>
      </w:tr>
      <w:tr w:rsidR="00135259" w:rsidRPr="00DD2BC5" w:rsidTr="007046B1">
        <w:tc>
          <w:tcPr>
            <w:tcW w:w="126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2.1.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96788A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Name of the Discipline:  </w:t>
            </w:r>
            <w:r w:rsidR="0059015B">
              <w:rPr>
                <w:b/>
                <w:bCs/>
              </w:rPr>
              <w:t>ENT</w:t>
            </w:r>
          </w:p>
        </w:tc>
      </w:tr>
      <w:tr w:rsidR="00135259" w:rsidRPr="00DD2BC5" w:rsidTr="007046B1">
        <w:tc>
          <w:tcPr>
            <w:tcW w:w="126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2.2.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96788A">
            <w:pPr>
              <w:spacing w:line="276" w:lineRule="auto"/>
              <w:ind w:left="708" w:hanging="7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Teaching staff in charge with lectures</w:t>
            </w:r>
            <w:r w:rsidRPr="00DD2BC5">
              <w:rPr>
                <w:b/>
                <w:bCs/>
              </w:rPr>
              <w:t xml:space="preserve">: </w:t>
            </w:r>
            <w:r w:rsidR="0059015B">
              <w:rPr>
                <w:b/>
                <w:bCs/>
              </w:rPr>
              <w:t>LECTURER DRAGOS PALADE</w:t>
            </w:r>
          </w:p>
        </w:tc>
      </w:tr>
      <w:tr w:rsidR="00135259" w:rsidRPr="00DD2BC5" w:rsidTr="007046B1">
        <w:tc>
          <w:tcPr>
            <w:tcW w:w="126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2.3.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Teaching staff in charge with seminar activities: </w:t>
            </w:r>
            <w:r w:rsidR="0059015B">
              <w:rPr>
                <w:b/>
                <w:bCs/>
              </w:rPr>
              <w:t>LECTURER</w:t>
            </w:r>
            <w:r w:rsidR="007566BC">
              <w:rPr>
                <w:b/>
                <w:bCs/>
              </w:rPr>
              <w:t xml:space="preserve"> DRAGOS PALADE, Asistent </w:t>
            </w:r>
            <w:r w:rsidR="008B0340">
              <w:rPr>
                <w:b/>
                <w:bCs/>
              </w:rPr>
              <w:t>dr.</w:t>
            </w:r>
            <w:r w:rsidR="007566BC">
              <w:rPr>
                <w:b/>
                <w:bCs/>
              </w:rPr>
              <w:t>Florentina Severin</w:t>
            </w:r>
          </w:p>
        </w:tc>
      </w:tr>
      <w:tr w:rsidR="00135259" w:rsidRPr="00DD2BC5" w:rsidTr="007046B1">
        <w:tc>
          <w:tcPr>
            <w:tcW w:w="2250" w:type="dxa"/>
            <w:gridSpan w:val="2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2.4. </w:t>
            </w:r>
            <w:r>
              <w:rPr>
                <w:b/>
                <w:bCs/>
              </w:rPr>
              <w:t xml:space="preserve">Year </w:t>
            </w:r>
          </w:p>
        </w:tc>
        <w:tc>
          <w:tcPr>
            <w:tcW w:w="630" w:type="dxa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2.5. Semest</w:t>
            </w:r>
            <w:r>
              <w:rPr>
                <w:b/>
                <w:bCs/>
              </w:rPr>
              <w:t>er</w:t>
            </w:r>
          </w:p>
        </w:tc>
        <w:tc>
          <w:tcPr>
            <w:tcW w:w="720" w:type="dxa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2.6. </w:t>
            </w:r>
            <w:r>
              <w:rPr>
                <w:b/>
                <w:bCs/>
              </w:rPr>
              <w:t xml:space="preserve">Type of evaluation </w:t>
            </w:r>
          </w:p>
        </w:tc>
        <w:tc>
          <w:tcPr>
            <w:tcW w:w="90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2.7. </w:t>
            </w:r>
            <w:r>
              <w:rPr>
                <w:b/>
                <w:bCs/>
              </w:rPr>
              <w:t xml:space="preserve">Discipline regimen </w:t>
            </w:r>
          </w:p>
        </w:tc>
        <w:tc>
          <w:tcPr>
            <w:tcW w:w="1425" w:type="dxa"/>
          </w:tcPr>
          <w:p w:rsidR="00135259" w:rsidRPr="005E5618" w:rsidRDefault="00135259" w:rsidP="0096788A">
            <w:pPr>
              <w:spacing w:line="276" w:lineRule="auto"/>
              <w:jc w:val="both"/>
              <w:rPr>
                <w:bCs/>
                <w:color w:val="FF0000"/>
              </w:rPr>
            </w:pP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0F1405" w:rsidRDefault="00135259" w:rsidP="00135259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8"/>
          <w:lang w:val="en-US"/>
        </w:rPr>
      </w:pPr>
      <w:r>
        <w:rPr>
          <w:b/>
          <w:bCs/>
          <w:sz w:val="24"/>
          <w:szCs w:val="28"/>
        </w:rPr>
        <w:t>Overall Time Estimates (hours</w:t>
      </w:r>
      <w:r w:rsidRPr="00DD2BC5">
        <w:rPr>
          <w:b/>
          <w:bCs/>
          <w:sz w:val="24"/>
          <w:szCs w:val="28"/>
        </w:rPr>
        <w:t>/seme</w:t>
      </w:r>
      <w:proofErr w:type="spellStart"/>
      <w:r w:rsidRPr="000F1405">
        <w:rPr>
          <w:b/>
          <w:bCs/>
          <w:sz w:val="24"/>
          <w:szCs w:val="28"/>
          <w:lang w:val="en-US"/>
        </w:rPr>
        <w:t>ster</w:t>
      </w:r>
      <w:proofErr w:type="spellEnd"/>
      <w:r w:rsidRPr="000F1405">
        <w:rPr>
          <w:b/>
          <w:bCs/>
          <w:sz w:val="24"/>
          <w:szCs w:val="28"/>
          <w:lang w:val="en-US"/>
        </w:rPr>
        <w:t xml:space="preserve"> of didactic activity)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1104"/>
        <w:gridCol w:w="1032"/>
        <w:gridCol w:w="1026"/>
        <w:gridCol w:w="1200"/>
        <w:gridCol w:w="2111"/>
        <w:gridCol w:w="1241"/>
      </w:tblGrid>
      <w:tr w:rsidR="00135259" w:rsidRPr="00DD2BC5" w:rsidTr="007046B1">
        <w:tc>
          <w:tcPr>
            <w:tcW w:w="2828" w:type="dxa"/>
            <w:shd w:val="clear" w:color="auto" w:fill="auto"/>
          </w:tcPr>
          <w:p w:rsidR="00135259" w:rsidRPr="000F1405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en-US"/>
              </w:rPr>
            </w:pPr>
            <w:r w:rsidRPr="000F1405">
              <w:rPr>
                <w:b/>
                <w:bCs/>
                <w:lang w:val="en-US"/>
              </w:rPr>
              <w:t>Number of hours per week</w:t>
            </w:r>
          </w:p>
        </w:tc>
        <w:tc>
          <w:tcPr>
            <w:tcW w:w="1104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7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>
              <w:rPr>
                <w:b/>
                <w:bCs/>
                <w:lang w:val="fr-FR"/>
              </w:rPr>
              <w:t xml:space="preserve">: 3.2. </w:t>
            </w:r>
            <w:r w:rsidRPr="00DD2BC5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00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4</w:t>
            </w:r>
          </w:p>
        </w:tc>
      </w:tr>
      <w:tr w:rsidR="00135259" w:rsidRPr="00DD2BC5" w:rsidTr="007046B1">
        <w:tc>
          <w:tcPr>
            <w:tcW w:w="2828" w:type="dxa"/>
            <w:shd w:val="clear" w:color="auto" w:fill="auto"/>
          </w:tcPr>
          <w:p w:rsidR="00135259" w:rsidRPr="000F140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en-US"/>
              </w:rPr>
            </w:pPr>
            <w:r w:rsidRPr="000F1405">
              <w:rPr>
                <w:b/>
                <w:bCs/>
                <w:lang w:val="en-US"/>
              </w:rPr>
              <w:t>Total hours in the curriculum</w:t>
            </w:r>
          </w:p>
        </w:tc>
        <w:tc>
          <w:tcPr>
            <w:tcW w:w="1104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52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: 3.5.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00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24</w:t>
            </w: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3.6. </w:t>
            </w: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28</w:t>
            </w:r>
          </w:p>
        </w:tc>
      </w:tr>
      <w:tr w:rsidR="00135259" w:rsidRPr="00DD2BC5" w:rsidTr="007046B1">
        <w:tc>
          <w:tcPr>
            <w:tcW w:w="282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Distribut</w:t>
            </w:r>
            <w:r>
              <w:rPr>
                <w:b/>
                <w:bCs/>
                <w:lang w:val="fr-FR"/>
              </w:rPr>
              <w:t xml:space="preserve">ion of time </w:t>
            </w:r>
          </w:p>
        </w:tc>
        <w:tc>
          <w:tcPr>
            <w:tcW w:w="110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20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Hours</w:t>
            </w:r>
            <w:proofErr w:type="spellEnd"/>
          </w:p>
        </w:tc>
      </w:tr>
      <w:tr w:rsidR="000F1405" w:rsidRPr="00DD2BC5" w:rsidTr="007046B1">
        <w:tc>
          <w:tcPr>
            <w:tcW w:w="9301" w:type="dxa"/>
            <w:gridSpan w:val="6"/>
            <w:shd w:val="clear" w:color="auto" w:fill="auto"/>
          </w:tcPr>
          <w:p w:rsidR="000F1405" w:rsidRPr="000F1405" w:rsidRDefault="000F1405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0F1405">
              <w:rPr>
                <w:b/>
                <w:bCs/>
                <w:lang w:val="en-US"/>
              </w:rPr>
              <w:t xml:space="preserve">Study time using </w:t>
            </w:r>
            <w:proofErr w:type="spellStart"/>
            <w:r w:rsidRPr="000F1405">
              <w:rPr>
                <w:b/>
                <w:bCs/>
                <w:lang w:val="en-US"/>
              </w:rPr>
              <w:t>coursebook</w:t>
            </w:r>
            <w:proofErr w:type="spellEnd"/>
            <w:r w:rsidRPr="000F1405">
              <w:rPr>
                <w:b/>
                <w:bCs/>
                <w:lang w:val="en-US"/>
              </w:rPr>
              <w:t xml:space="preserve"> materials, bibliography and notes </w:t>
            </w:r>
          </w:p>
        </w:tc>
        <w:tc>
          <w:tcPr>
            <w:tcW w:w="1241" w:type="dxa"/>
            <w:shd w:val="clear" w:color="auto" w:fill="auto"/>
          </w:tcPr>
          <w:p w:rsidR="000F1405" w:rsidRPr="00DA6152" w:rsidRDefault="000F1405" w:rsidP="00D44004">
            <w:pPr>
              <w:spacing w:line="276" w:lineRule="auto"/>
              <w:jc w:val="center"/>
              <w:rPr>
                <w:lang w:val="fr-FR"/>
              </w:rPr>
            </w:pPr>
            <w:r w:rsidRPr="00DA6152">
              <w:rPr>
                <w:b/>
                <w:bCs/>
              </w:rPr>
              <w:t>15</w:t>
            </w:r>
          </w:p>
        </w:tc>
      </w:tr>
      <w:tr w:rsidR="000F1405" w:rsidRPr="00DD2BC5" w:rsidTr="007046B1">
        <w:tc>
          <w:tcPr>
            <w:tcW w:w="9301" w:type="dxa"/>
            <w:gridSpan w:val="6"/>
            <w:shd w:val="clear" w:color="auto" w:fill="auto"/>
          </w:tcPr>
          <w:p w:rsidR="000F1405" w:rsidRPr="000F1405" w:rsidRDefault="000F1405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0F1405">
              <w:rPr>
                <w:b/>
                <w:bCs/>
                <w:lang w:val="en-US"/>
              </w:rPr>
              <w:t xml:space="preserve">Further study time in the </w:t>
            </w:r>
            <w:proofErr w:type="spellStart"/>
            <w:r w:rsidRPr="000F1405">
              <w:rPr>
                <w:b/>
                <w:bCs/>
                <w:lang w:val="en-US"/>
              </w:rPr>
              <w:t>libray</w:t>
            </w:r>
            <w:proofErr w:type="spellEnd"/>
            <w:r w:rsidRPr="000F1405">
              <w:rPr>
                <w:b/>
                <w:bCs/>
                <w:lang w:val="en-US"/>
              </w:rPr>
              <w:t>, online and in the field</w:t>
            </w:r>
          </w:p>
        </w:tc>
        <w:tc>
          <w:tcPr>
            <w:tcW w:w="1241" w:type="dxa"/>
            <w:shd w:val="clear" w:color="auto" w:fill="auto"/>
          </w:tcPr>
          <w:p w:rsidR="000F1405" w:rsidRPr="009B607D" w:rsidRDefault="000F1405" w:rsidP="00D44004">
            <w:pPr>
              <w:spacing w:line="276" w:lineRule="auto"/>
              <w:jc w:val="center"/>
              <w:rPr>
                <w:lang w:val="fr-FR"/>
              </w:rPr>
            </w:pPr>
            <w:r w:rsidRPr="009B607D">
              <w:rPr>
                <w:b/>
                <w:bCs/>
              </w:rPr>
              <w:t>10</w:t>
            </w:r>
          </w:p>
        </w:tc>
      </w:tr>
      <w:tr w:rsidR="000F1405" w:rsidRPr="00DD2BC5" w:rsidTr="007046B1">
        <w:tc>
          <w:tcPr>
            <w:tcW w:w="9301" w:type="dxa"/>
            <w:gridSpan w:val="6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DD2BC5">
              <w:rPr>
                <w:b/>
                <w:bCs/>
                <w:lang w:val="it-IT"/>
              </w:rPr>
              <w:t>Pre</w:t>
            </w:r>
            <w:r>
              <w:rPr>
                <w:b/>
                <w:bCs/>
                <w:lang w:val="it-IT"/>
              </w:rPr>
              <w:t>paration time for seminars / laboratories, homework, reports, portfolios and essays</w:t>
            </w:r>
          </w:p>
        </w:tc>
        <w:tc>
          <w:tcPr>
            <w:tcW w:w="1241" w:type="dxa"/>
            <w:shd w:val="clear" w:color="auto" w:fill="auto"/>
          </w:tcPr>
          <w:p w:rsidR="000F1405" w:rsidRPr="009B607D" w:rsidRDefault="000F1405" w:rsidP="00D44004">
            <w:pPr>
              <w:spacing w:line="276" w:lineRule="auto"/>
              <w:jc w:val="center"/>
              <w:rPr>
                <w:lang w:val="it-IT"/>
              </w:rPr>
            </w:pPr>
            <w:r w:rsidRPr="009B607D">
              <w:rPr>
                <w:b/>
                <w:bCs/>
              </w:rPr>
              <w:t>5</w:t>
            </w:r>
          </w:p>
        </w:tc>
      </w:tr>
      <w:tr w:rsidR="000F1405" w:rsidRPr="00DD2BC5" w:rsidTr="007046B1">
        <w:tc>
          <w:tcPr>
            <w:tcW w:w="9301" w:type="dxa"/>
            <w:gridSpan w:val="6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Tutoring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0F1405" w:rsidRPr="00DD2BC5" w:rsidRDefault="000F1405" w:rsidP="00D4400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0F1405" w:rsidRPr="00DD2BC5" w:rsidTr="007046B1">
        <w:tc>
          <w:tcPr>
            <w:tcW w:w="9301" w:type="dxa"/>
            <w:gridSpan w:val="6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Examinations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0F1405" w:rsidRPr="009B607D" w:rsidRDefault="000F1405" w:rsidP="00D44004">
            <w:pPr>
              <w:spacing w:line="276" w:lineRule="auto"/>
              <w:jc w:val="center"/>
              <w:rPr>
                <w:lang w:val="fr-FR"/>
              </w:rPr>
            </w:pPr>
            <w:r w:rsidRPr="009B607D">
              <w:rPr>
                <w:b/>
                <w:bCs/>
              </w:rPr>
              <w:t>5</w:t>
            </w:r>
          </w:p>
        </w:tc>
      </w:tr>
      <w:tr w:rsidR="000F1405" w:rsidRPr="00DD2BC5" w:rsidTr="007046B1">
        <w:tc>
          <w:tcPr>
            <w:tcW w:w="9301" w:type="dxa"/>
            <w:gridSpan w:val="6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Other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activities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0F1405" w:rsidRPr="00DD2BC5" w:rsidRDefault="000F1405" w:rsidP="00D4400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0F1405" w:rsidRPr="00DD2BC5" w:rsidTr="007046B1">
        <w:tc>
          <w:tcPr>
            <w:tcW w:w="4964" w:type="dxa"/>
            <w:gridSpan w:val="3"/>
            <w:shd w:val="clear" w:color="auto" w:fill="auto"/>
          </w:tcPr>
          <w:p w:rsidR="000F1405" w:rsidRPr="000F1405" w:rsidRDefault="000F1405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0F1405">
              <w:rPr>
                <w:b/>
                <w:bCs/>
                <w:lang w:val="en-US"/>
              </w:rPr>
              <w:t>3.7. Total hours of individual study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0F1405" w:rsidRPr="009B607D" w:rsidRDefault="000F1405" w:rsidP="00D44004">
            <w:pPr>
              <w:spacing w:line="276" w:lineRule="auto"/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jc w:val="center"/>
            </w:pPr>
            <w:r>
              <w:t>48</w:t>
            </w:r>
          </w:p>
        </w:tc>
      </w:tr>
      <w:tr w:rsidR="000F1405" w:rsidRPr="00DD2BC5" w:rsidTr="007046B1">
        <w:tc>
          <w:tcPr>
            <w:tcW w:w="4964" w:type="dxa"/>
            <w:gridSpan w:val="3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3.8</w:t>
            </w:r>
            <w:r w:rsidRPr="00DD2BC5">
              <w:rPr>
                <w:b/>
                <w:bCs/>
                <w:lang w:val="fr-FR"/>
              </w:rPr>
              <w:t xml:space="preserve">. Total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semester</w:t>
            </w:r>
            <w:proofErr w:type="spellEnd"/>
          </w:p>
        </w:tc>
        <w:tc>
          <w:tcPr>
            <w:tcW w:w="4337" w:type="dxa"/>
            <w:gridSpan w:val="3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</w:tr>
      <w:tr w:rsidR="000F1405" w:rsidRPr="00DD2BC5" w:rsidTr="007046B1">
        <w:tc>
          <w:tcPr>
            <w:tcW w:w="4964" w:type="dxa"/>
            <w:gridSpan w:val="3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3.</w:t>
            </w:r>
            <w:r>
              <w:rPr>
                <w:b/>
                <w:bCs/>
                <w:lang w:val="fr-FR"/>
              </w:rPr>
              <w:t>9</w:t>
            </w:r>
            <w:r w:rsidRPr="00DD2BC5">
              <w:rPr>
                <w:b/>
                <w:bCs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lang w:val="fr-FR"/>
              </w:rPr>
              <w:t>Number</w:t>
            </w:r>
            <w:proofErr w:type="spellEnd"/>
            <w:r>
              <w:rPr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b/>
                <w:bCs/>
                <w:lang w:val="fr-FR"/>
              </w:rPr>
              <w:t>credits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0F1405" w:rsidRPr="00DD2BC5" w:rsidRDefault="000F1405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0F1405" w:rsidRPr="00DD2BC5" w:rsidRDefault="000F1405" w:rsidP="0005689C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fr-FR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Pre</w:t>
      </w:r>
      <w:r>
        <w:rPr>
          <w:b/>
          <w:bCs/>
          <w:sz w:val="24"/>
          <w:szCs w:val="28"/>
          <w:lang w:val="it-IT"/>
        </w:rPr>
        <w:t xml:space="preserve">requisites (where applicable)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4"/>
        <w:gridCol w:w="4948"/>
      </w:tblGrid>
      <w:tr w:rsidR="00135259" w:rsidRPr="00DD2BC5" w:rsidTr="007E71FE">
        <w:tc>
          <w:tcPr>
            <w:tcW w:w="577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4.1.  curriculum</w:t>
            </w:r>
          </w:p>
        </w:tc>
        <w:tc>
          <w:tcPr>
            <w:tcW w:w="4948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Nu e </w:t>
            </w:r>
            <w:proofErr w:type="spellStart"/>
            <w:r>
              <w:rPr>
                <w:lang w:val="fr-FR"/>
              </w:rPr>
              <w:t>cazul</w:t>
            </w:r>
            <w:proofErr w:type="spellEnd"/>
          </w:p>
        </w:tc>
      </w:tr>
      <w:tr w:rsidR="00135259" w:rsidRPr="00DD2BC5" w:rsidTr="007E71FE">
        <w:tc>
          <w:tcPr>
            <w:tcW w:w="577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4.2. 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</w:p>
        </w:tc>
        <w:tc>
          <w:tcPr>
            <w:tcW w:w="4948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Nu e cazul</w:t>
            </w: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Condi</w:t>
      </w:r>
      <w:r>
        <w:rPr>
          <w:b/>
          <w:bCs/>
          <w:sz w:val="24"/>
          <w:szCs w:val="28"/>
          <w:lang w:val="it-IT"/>
        </w:rPr>
        <w:t>tions (where applicable)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8"/>
        <w:gridCol w:w="4954"/>
      </w:tblGrid>
      <w:tr w:rsidR="00135259" w:rsidRPr="00DD2BC5" w:rsidTr="007E71FE">
        <w:tc>
          <w:tcPr>
            <w:tcW w:w="576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5.1. </w:t>
            </w:r>
            <w:r>
              <w:rPr>
                <w:b/>
                <w:bCs/>
                <w:lang w:val="fr-FR"/>
              </w:rPr>
              <w:t xml:space="preserve">for lecture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4954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Nu e </w:t>
            </w:r>
            <w:proofErr w:type="spellStart"/>
            <w:r>
              <w:rPr>
                <w:lang w:val="fr-FR"/>
              </w:rPr>
              <w:t>cazul</w:t>
            </w:r>
            <w:proofErr w:type="spellEnd"/>
          </w:p>
        </w:tc>
      </w:tr>
      <w:tr w:rsidR="00135259" w:rsidRPr="00DD2BC5" w:rsidTr="007E71FE">
        <w:tc>
          <w:tcPr>
            <w:tcW w:w="576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5.2. </w:t>
            </w:r>
            <w:r>
              <w:rPr>
                <w:b/>
                <w:bCs/>
                <w:lang w:val="fr-FR"/>
              </w:rPr>
              <w:t xml:space="preserve">for </w:t>
            </w:r>
            <w:proofErr w:type="spellStart"/>
            <w:r>
              <w:rPr>
                <w:b/>
                <w:bCs/>
                <w:lang w:val="fr-FR"/>
              </w:rPr>
              <w:t>seminar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laboratory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4954" w:type="dxa"/>
            <w:shd w:val="clear" w:color="auto" w:fill="auto"/>
          </w:tcPr>
          <w:p w:rsidR="00135259" w:rsidRPr="00DD2BC5" w:rsidRDefault="0005689C" w:rsidP="0096788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Nu e </w:t>
            </w:r>
            <w:proofErr w:type="spellStart"/>
            <w:r>
              <w:rPr>
                <w:lang w:val="fr-FR"/>
              </w:rPr>
              <w:t>cazul</w:t>
            </w:r>
            <w:proofErr w:type="spellEnd"/>
          </w:p>
        </w:tc>
      </w:tr>
    </w:tbl>
    <w:p w:rsidR="00135259" w:rsidRDefault="00135259" w:rsidP="00135259">
      <w:pPr>
        <w:spacing w:line="276" w:lineRule="auto"/>
        <w:rPr>
          <w:b/>
          <w:bCs/>
          <w:sz w:val="24"/>
          <w:szCs w:val="28"/>
          <w:lang w:val="fr-FR"/>
        </w:rPr>
      </w:pPr>
    </w:p>
    <w:p w:rsidR="00135259" w:rsidRPr="00DD2BC5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fr-FR"/>
        </w:rPr>
      </w:pPr>
      <w:proofErr w:type="spellStart"/>
      <w:r>
        <w:rPr>
          <w:b/>
          <w:bCs/>
          <w:sz w:val="24"/>
          <w:szCs w:val="28"/>
          <w:lang w:val="fr-FR"/>
        </w:rPr>
        <w:t>Specific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DD2BC5">
        <w:rPr>
          <w:b/>
          <w:bCs/>
          <w:sz w:val="24"/>
          <w:szCs w:val="28"/>
          <w:lang w:val="fr-FR"/>
        </w:rPr>
        <w:t>Competen</w:t>
      </w:r>
      <w:r>
        <w:rPr>
          <w:b/>
          <w:bCs/>
          <w:sz w:val="24"/>
          <w:szCs w:val="28"/>
          <w:lang w:val="fr-FR"/>
        </w:rPr>
        <w:t>ces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>
        <w:rPr>
          <w:b/>
          <w:bCs/>
          <w:sz w:val="24"/>
          <w:szCs w:val="28"/>
          <w:lang w:val="fr-FR"/>
        </w:rPr>
        <w:t>Acquired</w:t>
      </w:r>
      <w:proofErr w:type="spellEnd"/>
    </w:p>
    <w:tbl>
      <w:tblPr>
        <w:tblW w:w="539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5790"/>
        <w:gridCol w:w="1902"/>
      </w:tblGrid>
      <w:tr w:rsidR="0005689C" w:rsidRPr="00DD2BC5" w:rsidTr="007E71FE">
        <w:tc>
          <w:tcPr>
            <w:tcW w:w="1413" w:type="pct"/>
            <w:shd w:val="clear" w:color="auto" w:fill="auto"/>
          </w:tcPr>
          <w:p w:rsidR="0005689C" w:rsidRPr="00DD2BC5" w:rsidRDefault="0005689C" w:rsidP="0096788A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Professional </w:t>
            </w:r>
            <w:r w:rsidRPr="00DD2BC5">
              <w:rPr>
                <w:b/>
                <w:bCs/>
                <w:lang w:val="it-IT"/>
              </w:rPr>
              <w:t>Competen</w:t>
            </w:r>
            <w:r>
              <w:rPr>
                <w:b/>
                <w:bCs/>
                <w:lang w:val="it-IT"/>
              </w:rPr>
              <w:t xml:space="preserve">ces </w:t>
            </w:r>
            <w:r w:rsidRPr="00DD2BC5">
              <w:rPr>
                <w:b/>
                <w:bCs/>
                <w:lang w:val="it-IT"/>
              </w:rPr>
              <w:t xml:space="preserve"> (</w:t>
            </w:r>
            <w:r>
              <w:rPr>
                <w:b/>
                <w:bCs/>
                <w:lang w:val="it-IT"/>
              </w:rPr>
              <w:t>knowledge and skills</w:t>
            </w:r>
            <w:r w:rsidRPr="00DD2BC5">
              <w:rPr>
                <w:b/>
                <w:bCs/>
                <w:lang w:val="it-IT"/>
              </w:rPr>
              <w:t>)</w:t>
            </w:r>
          </w:p>
        </w:tc>
        <w:tc>
          <w:tcPr>
            <w:tcW w:w="2700" w:type="pct"/>
          </w:tcPr>
          <w:p w:rsidR="0005689C" w:rsidRPr="005A35E6" w:rsidRDefault="0005689C" w:rsidP="0005689C">
            <w:pPr>
              <w:widowControl w:val="0"/>
              <w:numPr>
                <w:ilvl w:val="0"/>
                <w:numId w:val="5"/>
              </w:numPr>
              <w:tabs>
                <w:tab w:val="left" w:pos="1791"/>
                <w:tab w:val="left" w:pos="25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  <w:lang w:val="it-IT"/>
              </w:rPr>
              <w:t xml:space="preserve">Aquiring knowledges about congenital, traumatic, inflammatory and tumoral pathology in head and neck area. </w:t>
            </w:r>
          </w:p>
          <w:p w:rsidR="0005689C" w:rsidRPr="000F1405" w:rsidRDefault="0005689C" w:rsidP="003E73BB">
            <w:pPr>
              <w:ind w:left="3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887" w:type="pct"/>
            <w:shd w:val="clear" w:color="auto" w:fill="auto"/>
          </w:tcPr>
          <w:p w:rsidR="0005689C" w:rsidRPr="005E5618" w:rsidRDefault="0005689C" w:rsidP="0096788A">
            <w:pPr>
              <w:pStyle w:val="Index"/>
              <w:snapToGrid w:val="0"/>
              <w:spacing w:line="276" w:lineRule="auto"/>
              <w:rPr>
                <w:rFonts w:ascii="Trebuchet MS" w:hAnsi="Trebuchet MS"/>
                <w:sz w:val="22"/>
                <w:szCs w:val="28"/>
                <w:lang w:val="ro-RO"/>
              </w:rPr>
            </w:pPr>
          </w:p>
        </w:tc>
      </w:tr>
      <w:tr w:rsidR="0005689C" w:rsidRPr="00DD2BC5" w:rsidTr="007E71FE">
        <w:tc>
          <w:tcPr>
            <w:tcW w:w="1413" w:type="pct"/>
            <w:shd w:val="clear" w:color="auto" w:fill="auto"/>
          </w:tcPr>
          <w:p w:rsidR="0005689C" w:rsidRPr="00DD2BC5" w:rsidRDefault="0005689C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Transversal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  <w:r>
              <w:rPr>
                <w:b/>
                <w:bCs/>
                <w:lang w:val="fr-FR"/>
              </w:rPr>
              <w:t xml:space="preserve">  (</w:t>
            </w:r>
            <w:proofErr w:type="spellStart"/>
            <w:r>
              <w:rPr>
                <w:b/>
                <w:bCs/>
                <w:lang w:val="fr-FR"/>
              </w:rPr>
              <w:t>roles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personal</w:t>
            </w:r>
            <w:proofErr w:type="spellEnd"/>
            <w:r>
              <w:rPr>
                <w:b/>
                <w:bCs/>
                <w:lang w:val="fr-FR"/>
              </w:rPr>
              <w:t xml:space="preserve"> and </w:t>
            </w:r>
            <w:proofErr w:type="spellStart"/>
            <w:r>
              <w:rPr>
                <w:b/>
                <w:bCs/>
                <w:lang w:val="fr-FR"/>
              </w:rPr>
              <w:t>professional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development</w:t>
            </w:r>
            <w:proofErr w:type="spellEnd"/>
            <w:r w:rsidRPr="00DD2BC5">
              <w:rPr>
                <w:b/>
                <w:bCs/>
                <w:lang w:val="fr-FR"/>
              </w:rPr>
              <w:t>)</w:t>
            </w:r>
          </w:p>
        </w:tc>
        <w:tc>
          <w:tcPr>
            <w:tcW w:w="2700" w:type="pct"/>
          </w:tcPr>
          <w:p w:rsidR="0005689C" w:rsidRPr="000F1405" w:rsidRDefault="0005689C" w:rsidP="0005689C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2"/>
                <w:lang w:val="en-US"/>
              </w:rPr>
            </w:pPr>
            <w:r w:rsidRPr="000F1405">
              <w:rPr>
                <w:b/>
                <w:bCs/>
                <w:sz w:val="22"/>
                <w:lang w:val="en-US"/>
              </w:rPr>
              <w:t xml:space="preserve">Understanding how ENT pathology in connection with other </w:t>
            </w:r>
            <w:proofErr w:type="spellStart"/>
            <w:r w:rsidRPr="000F1405">
              <w:rPr>
                <w:b/>
                <w:bCs/>
                <w:sz w:val="22"/>
                <w:lang w:val="en-US"/>
              </w:rPr>
              <w:t>specialities</w:t>
            </w:r>
            <w:proofErr w:type="spellEnd"/>
          </w:p>
        </w:tc>
        <w:tc>
          <w:tcPr>
            <w:tcW w:w="887" w:type="pct"/>
            <w:shd w:val="clear" w:color="auto" w:fill="auto"/>
          </w:tcPr>
          <w:p w:rsidR="0005689C" w:rsidRPr="005E5618" w:rsidRDefault="0005689C" w:rsidP="0096788A">
            <w:pPr>
              <w:spacing w:line="276" w:lineRule="auto"/>
              <w:rPr>
                <w:bCs/>
                <w:lang w:val="it-IT"/>
              </w:rPr>
            </w:pP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rStyle w:val="ln2tpunct"/>
          <w:b/>
          <w:bCs/>
          <w:sz w:val="24"/>
          <w:szCs w:val="28"/>
          <w:lang w:val="it-IT"/>
        </w:rPr>
        <w:t>Obiective</w:t>
      </w:r>
      <w:r>
        <w:rPr>
          <w:rStyle w:val="ln2tpunct"/>
          <w:b/>
          <w:bCs/>
          <w:sz w:val="24"/>
          <w:szCs w:val="28"/>
          <w:lang w:val="it-IT"/>
        </w:rPr>
        <w:t xml:space="preserve">s of the Discipline </w:t>
      </w:r>
      <w:r w:rsidRPr="00DD2BC5">
        <w:rPr>
          <w:rStyle w:val="ln2tpunct"/>
          <w:b/>
          <w:bCs/>
          <w:sz w:val="24"/>
          <w:szCs w:val="28"/>
          <w:lang w:val="it-IT"/>
        </w:rPr>
        <w:t>(</w:t>
      </w:r>
      <w:r>
        <w:rPr>
          <w:rStyle w:val="ln2tpunct"/>
          <w:b/>
          <w:bCs/>
          <w:sz w:val="24"/>
          <w:szCs w:val="28"/>
          <w:lang w:val="it-IT"/>
        </w:rPr>
        <w:t xml:space="preserve">related to the acquired competences) </w:t>
      </w:r>
    </w:p>
    <w:tbl>
      <w:tblPr>
        <w:tblW w:w="539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5850"/>
        <w:gridCol w:w="1902"/>
      </w:tblGrid>
      <w:tr w:rsidR="0005689C" w:rsidRPr="00DD2BC5" w:rsidTr="007E71FE">
        <w:tc>
          <w:tcPr>
            <w:tcW w:w="1385" w:type="pct"/>
            <w:shd w:val="clear" w:color="auto" w:fill="auto"/>
          </w:tcPr>
          <w:p w:rsidR="0005689C" w:rsidRPr="00DD2BC5" w:rsidRDefault="0005689C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General </w:t>
            </w:r>
            <w:r w:rsidRPr="00DD2BC5">
              <w:rPr>
                <w:b/>
                <w:bCs/>
              </w:rPr>
              <w:t>Obiectiv</w:t>
            </w:r>
            <w:r>
              <w:rPr>
                <w:b/>
                <w:bCs/>
              </w:rPr>
              <w:t>e</w:t>
            </w:r>
          </w:p>
        </w:tc>
        <w:tc>
          <w:tcPr>
            <w:tcW w:w="2728" w:type="pct"/>
          </w:tcPr>
          <w:p w:rsidR="0005689C" w:rsidRPr="006F16C9" w:rsidRDefault="0005689C" w:rsidP="003E73BB">
            <w:pPr>
              <w:rPr>
                <w:sz w:val="22"/>
              </w:rPr>
            </w:pPr>
            <w:r>
              <w:rPr>
                <w:sz w:val="21"/>
                <w:szCs w:val="21"/>
                <w:lang w:val="it-IT"/>
              </w:rPr>
              <w:t>aquiring the diagnostic methods and  treatment stratregy in ENT.</w:t>
            </w:r>
          </w:p>
        </w:tc>
        <w:tc>
          <w:tcPr>
            <w:tcW w:w="887" w:type="pct"/>
            <w:shd w:val="clear" w:color="auto" w:fill="auto"/>
          </w:tcPr>
          <w:p w:rsidR="0005689C" w:rsidRPr="005E5618" w:rsidRDefault="0005689C" w:rsidP="0096788A">
            <w:pPr>
              <w:widowControl w:val="0"/>
              <w:autoSpaceDE w:val="0"/>
              <w:snapToGrid w:val="0"/>
              <w:spacing w:line="276" w:lineRule="auto"/>
              <w:ind w:right="62"/>
            </w:pPr>
          </w:p>
        </w:tc>
      </w:tr>
      <w:tr w:rsidR="0005689C" w:rsidRPr="00DD2BC5" w:rsidTr="007E71FE">
        <w:tc>
          <w:tcPr>
            <w:tcW w:w="1385" w:type="pct"/>
            <w:shd w:val="clear" w:color="auto" w:fill="auto"/>
          </w:tcPr>
          <w:p w:rsidR="0005689C" w:rsidRPr="00DD2BC5" w:rsidRDefault="0005689C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.2. </w:t>
            </w:r>
            <w:r>
              <w:rPr>
                <w:b/>
                <w:bCs/>
              </w:rPr>
              <w:t xml:space="preserve">Specific </w:t>
            </w:r>
            <w:r w:rsidRPr="00DD2BC5">
              <w:rPr>
                <w:b/>
                <w:bCs/>
              </w:rPr>
              <w:t>Obiective</w:t>
            </w:r>
            <w:r>
              <w:rPr>
                <w:b/>
                <w:bCs/>
              </w:rPr>
              <w:t>s</w:t>
            </w:r>
            <w:r w:rsidRPr="00DD2BC5">
              <w:rPr>
                <w:b/>
                <w:bCs/>
              </w:rPr>
              <w:t xml:space="preserve"> </w:t>
            </w:r>
          </w:p>
        </w:tc>
        <w:tc>
          <w:tcPr>
            <w:tcW w:w="2728" w:type="pct"/>
          </w:tcPr>
          <w:p w:rsidR="0005689C" w:rsidRPr="002B0162" w:rsidRDefault="0005689C" w:rsidP="003E73BB">
            <w:pPr>
              <w:widowControl w:val="0"/>
              <w:tabs>
                <w:tab w:val="left" w:pos="1791"/>
                <w:tab w:val="left" w:pos="2505"/>
              </w:tabs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  <w:lang w:val="it-IT"/>
              </w:rPr>
              <w:t>emergencies’ management  in ENT (respiration, hemorrage , trauma etc)</w:t>
            </w:r>
          </w:p>
        </w:tc>
        <w:tc>
          <w:tcPr>
            <w:tcW w:w="887" w:type="pct"/>
            <w:shd w:val="clear" w:color="auto" w:fill="auto"/>
          </w:tcPr>
          <w:p w:rsidR="0005689C" w:rsidRPr="005E5618" w:rsidRDefault="0005689C" w:rsidP="0096788A">
            <w:pPr>
              <w:spacing w:line="276" w:lineRule="auto"/>
            </w:pP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 xml:space="preserve"> Con</w:t>
      </w:r>
      <w:r>
        <w:rPr>
          <w:b/>
          <w:bCs/>
          <w:sz w:val="24"/>
          <w:szCs w:val="28"/>
        </w:rPr>
        <w:t xml:space="preserve">tents </w:t>
      </w:r>
    </w:p>
    <w:p w:rsidR="007F62D4" w:rsidRDefault="007F62D4"/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4"/>
        <w:gridCol w:w="686"/>
        <w:gridCol w:w="1068"/>
        <w:gridCol w:w="552"/>
        <w:gridCol w:w="810"/>
      </w:tblGrid>
      <w:tr w:rsidR="00135259" w:rsidRPr="00DD2BC5" w:rsidTr="007E71FE">
        <w:trPr>
          <w:trHeight w:val="485"/>
        </w:trPr>
        <w:tc>
          <w:tcPr>
            <w:tcW w:w="8460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>Lecture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81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5689C" w:rsidRPr="007F62D4" w:rsidTr="007E71FE"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89C" w:rsidRPr="007F62D4" w:rsidRDefault="0005689C" w:rsidP="007F62D4">
            <w:pPr>
              <w:rPr>
                <w:b/>
              </w:rPr>
            </w:pPr>
            <w:r w:rsidRPr="007F62D4">
              <w:t>Nr.1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Clinical anatomy and physiology of the pharynx and Waldeyer’s ring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Acute tonsillitis – etiology, clinical signs and symptoms, treatment.</w:t>
            </w:r>
            <w:r w:rsidR="007F62D4">
              <w:rPr>
                <w:rFonts w:asciiTheme="minorHAnsi" w:hAnsiTheme="minorHAnsi"/>
                <w:szCs w:val="20"/>
              </w:rPr>
              <w:t xml:space="preserve"> </w:t>
            </w:r>
            <w:r w:rsidRPr="007F62D4">
              <w:rPr>
                <w:rFonts w:asciiTheme="minorHAnsi" w:hAnsiTheme="minorHAnsi"/>
                <w:szCs w:val="20"/>
              </w:rPr>
              <w:t>Complications of acute tonsillitis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 xml:space="preserve">Powerpoint Presentations 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89C" w:rsidRPr="007F62D4" w:rsidRDefault="0005689C" w:rsidP="007E71FE">
            <w:pPr>
              <w:rPr>
                <w:b/>
              </w:rPr>
            </w:pPr>
            <w:r w:rsidRPr="007F62D4">
              <w:t>Nr.2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Acute and chronic adenoiditis</w:t>
            </w:r>
            <w:r w:rsidR="007F62D4" w:rsidRP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Acute and chronic infections and inflammatory pathology of the pharynx (chronic tonsillitis, chronic pharyngitis, specific infections)</w:t>
            </w:r>
            <w:r w:rsidR="007F62D4" w:rsidRP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Chronic tonsillitis as focal infection</w:t>
            </w:r>
            <w:r w:rsidR="007F62D4" w:rsidRP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Benign and malignant tumors of the pharynx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89C" w:rsidRPr="007F62D4" w:rsidRDefault="0005689C" w:rsidP="007F62D4">
            <w:pPr>
              <w:rPr>
                <w:b/>
              </w:rPr>
            </w:pPr>
            <w:r w:rsidRPr="007F62D4">
              <w:t>Nr.3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Oral cavity – anatomy, trauma, inflammatory diseases, tumors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 xml:space="preserve"> Neck congenital fistula and cysts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Differential diagnosis of neck masses.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Clinical anatomy and physiology of esophagus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Nr.4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Foreign bodies in the pharynx and esophagus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Burns and stenosis of the pharynx and esophagus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Tumors of the esophagus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 xml:space="preserve">High and low dysphagia 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b/>
                <w:szCs w:val="20"/>
              </w:rPr>
              <w:t xml:space="preserve">Clinical anatomy and </w:t>
            </w:r>
            <w:r w:rsidRPr="007F62D4">
              <w:rPr>
                <w:rFonts w:asciiTheme="minorHAnsi" w:hAnsiTheme="minorHAnsi"/>
                <w:szCs w:val="20"/>
              </w:rPr>
              <w:t xml:space="preserve">Powerpoint Presentations </w:t>
            </w:r>
            <w:r w:rsidRPr="007F62D4">
              <w:rPr>
                <w:rFonts w:asciiTheme="minorHAnsi" w:hAnsiTheme="minorHAnsi"/>
                <w:b/>
                <w:szCs w:val="20"/>
              </w:rPr>
              <w:t>physiology of the larynx and tracheo-bronchial tree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 xml:space="preserve">Nr. 5 (2 hours) 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Acute and chronic infections and inflammatory disorders of the larynx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Benign tumors of the larynx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Malignant tumors of the larynx (etiology, pathology, symptoms, treatment)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Nr. 6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TNM stage system and treatment of the laryngeal cancer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Foreign bodies in the larynx, trachea and bronchial tree;Tracheotomy(techniques, indications);Laryngeal trauma.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Nr. 7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Clinical anatomy and physiology of the nose and paranasal sinuses;Nasal obstruction;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Epistaxis – etiopathogeny, treatment;Nasal deformities (choanal atresia and others).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Nr. 8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Trauma of the nose and paranasal sinuses;Nasal furuncle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Acute and chronic rhinitis;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lastRenderedPageBreak/>
              <w:t>Specific infections of the nose and paranasal sinuses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Acute and chronic sinusitis;</w:t>
            </w:r>
            <w:r w:rsidR="007F62D4">
              <w:rPr>
                <w:rFonts w:asciiTheme="minorHAnsi" w:hAnsiTheme="minorHAnsi"/>
                <w:szCs w:val="20"/>
              </w:rPr>
              <w:t xml:space="preserve"> </w:t>
            </w:r>
            <w:r w:rsidRPr="007F62D4">
              <w:rPr>
                <w:rFonts w:asciiTheme="minorHAnsi" w:hAnsiTheme="minorHAnsi"/>
                <w:szCs w:val="20"/>
              </w:rPr>
              <w:t xml:space="preserve">Complications of the sinusitis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lastRenderedPageBreak/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lastRenderedPageBreak/>
              <w:t>Nr. 9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Sino nasal allergy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Nasal polyposis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Benign and malignant tumors of the nose and paranasal sinuses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Headaches.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Nr. 10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Clinical anatomy and physiology of the ear;Referred otalgia;Ear deformities;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Trauma of the ear.</w:t>
            </w:r>
            <w:r w:rsidR="007F62D4">
              <w:rPr>
                <w:rFonts w:asciiTheme="minorHAnsi" w:hAnsiTheme="minorHAnsi"/>
                <w:szCs w:val="20"/>
              </w:rPr>
              <w:t xml:space="preserve"> </w:t>
            </w:r>
            <w:r w:rsidRPr="007F62D4">
              <w:rPr>
                <w:rFonts w:asciiTheme="minorHAnsi" w:hAnsiTheme="minorHAnsi"/>
                <w:szCs w:val="20"/>
              </w:rPr>
              <w:t>Inflammatory and infectious disorders of the external ear(furunculosis, diffuse external</w:t>
            </w:r>
            <w:r w:rsidR="007F62D4">
              <w:rPr>
                <w:rFonts w:asciiTheme="minorHAnsi" w:hAnsiTheme="minorHAnsi"/>
                <w:szCs w:val="20"/>
              </w:rPr>
              <w:t xml:space="preserve"> </w:t>
            </w:r>
            <w:r w:rsidRPr="007F62D4">
              <w:rPr>
                <w:rFonts w:asciiTheme="minorHAnsi" w:hAnsiTheme="minorHAnsi"/>
                <w:szCs w:val="20"/>
              </w:rPr>
              <w:t>otitis, otomycosis);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Nr. 11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Inflammatory and infectious pathology of the middle ear (and mastoid process).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Exocranial complications of otitis media and otomastoiditis (subperiostal abscess of mastoid process, facial nerve palsy, labirynthitis);</w:t>
            </w:r>
            <w:r w:rsidR="007F62D4">
              <w:rPr>
                <w:rFonts w:asciiTheme="minorHAnsi" w:hAnsiTheme="minorHAnsi"/>
                <w:szCs w:val="20"/>
              </w:rPr>
              <w:t xml:space="preserve"> </w:t>
            </w:r>
            <w:r w:rsidRPr="007F62D4">
              <w:rPr>
                <w:rFonts w:asciiTheme="minorHAnsi" w:hAnsiTheme="minorHAnsi"/>
                <w:szCs w:val="20"/>
              </w:rPr>
              <w:t xml:space="preserve">Endocranial complications of otitis media and otomastoiditis.Hearing loss and hearing aids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846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Nr. 12 (2 hours)</w:t>
            </w:r>
          </w:p>
          <w:p w:rsidR="0005689C" w:rsidRPr="007F62D4" w:rsidRDefault="0005689C" w:rsidP="007F62D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Salivary glands – clinical anatomy and physiology,  paraclinic exams, inflammatory disorders, tumors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Thyroid gland - clinical anatomy and physiology, paraclinic exams, hyper- and hypothyroidism</w:t>
            </w:r>
            <w:r w:rsidR="007F62D4">
              <w:rPr>
                <w:rFonts w:asciiTheme="minorHAnsi" w:hAnsiTheme="minorHAnsi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color w:val="000000"/>
                <w:szCs w:val="20"/>
              </w:rPr>
              <w:t>Inflammatory and tumoral disorders of the thyroid gland</w:t>
            </w:r>
          </w:p>
          <w:p w:rsidR="0005689C" w:rsidRPr="007F62D4" w:rsidRDefault="0005689C" w:rsidP="007F62D4">
            <w:pPr>
              <w:spacing w:line="240" w:lineRule="auto"/>
              <w:outlineLvl w:val="3"/>
              <w:rPr>
                <w:rFonts w:asciiTheme="minorHAnsi" w:hAnsiTheme="minorHAnsi"/>
                <w:color w:val="000000"/>
                <w:szCs w:val="20"/>
              </w:rPr>
            </w:pPr>
            <w:r w:rsidRPr="007F62D4">
              <w:rPr>
                <w:rFonts w:asciiTheme="minorHAnsi" w:hAnsiTheme="minorHAnsi"/>
                <w:color w:val="000000"/>
                <w:szCs w:val="20"/>
              </w:rPr>
              <w:t>Cranial nerves diseases</w:t>
            </w:r>
            <w:r w:rsidR="007F62D4">
              <w:rPr>
                <w:rFonts w:asciiTheme="minorHAnsi" w:hAnsiTheme="minorHAnsi"/>
                <w:color w:val="000000"/>
                <w:szCs w:val="20"/>
              </w:rPr>
              <w:t xml:space="preserve">; </w:t>
            </w:r>
            <w:r w:rsidRPr="007F62D4">
              <w:rPr>
                <w:rFonts w:asciiTheme="minorHAnsi" w:hAnsiTheme="minorHAnsi"/>
                <w:szCs w:val="20"/>
              </w:rPr>
              <w:t>Differential diagnosis of neck masses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Powerpoint Presentations</w:t>
            </w:r>
          </w:p>
        </w:tc>
        <w:tc>
          <w:tcPr>
            <w:tcW w:w="810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10890" w:type="dxa"/>
            <w:gridSpan w:val="5"/>
            <w:shd w:val="clear" w:color="auto" w:fill="auto"/>
          </w:tcPr>
          <w:p w:rsidR="0005689C" w:rsidRPr="007F62D4" w:rsidRDefault="0005689C" w:rsidP="00135259">
            <w:pPr>
              <w:spacing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>Bibliography</w:t>
            </w:r>
          </w:p>
          <w:p w:rsidR="0005689C" w:rsidRPr="007F62D4" w:rsidRDefault="0005689C" w:rsidP="0005689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  <w:spacing w:val="-31"/>
                <w:szCs w:val="20"/>
              </w:rPr>
            </w:pPr>
            <w:r w:rsidRPr="007F62D4">
              <w:rPr>
                <w:rFonts w:asciiTheme="minorHAnsi" w:hAnsiTheme="minorHAnsi"/>
                <w:color w:val="000000"/>
                <w:spacing w:val="-2"/>
                <w:szCs w:val="20"/>
                <w:lang w:val="fr-FR"/>
              </w:rPr>
              <w:t xml:space="preserve">V. </w:t>
            </w:r>
            <w:r w:rsidRPr="007F62D4">
              <w:rPr>
                <w:rFonts w:asciiTheme="minorHAnsi" w:hAnsiTheme="minorHAnsi"/>
                <w:color w:val="000000"/>
                <w:spacing w:val="-2"/>
                <w:szCs w:val="20"/>
              </w:rPr>
              <w:t>Costinescu, M. D.Cobzeanu, C. Din</w:t>
            </w:r>
            <w:r w:rsidR="007F62D4">
              <w:rPr>
                <w:rFonts w:asciiTheme="minorHAnsi" w:hAnsiTheme="minorHAnsi"/>
                <w:color w:val="000000"/>
                <w:spacing w:val="-2"/>
                <w:szCs w:val="20"/>
              </w:rPr>
              <w:t xml:space="preserve">u - Patologie O.R.L.- Patologie </w:t>
            </w:r>
            <w:r w:rsidRPr="007F62D4">
              <w:rPr>
                <w:rFonts w:asciiTheme="minorHAnsi" w:hAnsiTheme="minorHAnsi"/>
                <w:color w:val="000000"/>
                <w:spacing w:val="-9"/>
                <w:szCs w:val="20"/>
              </w:rPr>
              <w:t>cervicală. Tipografia UMF IAŞI. 1998.</w:t>
            </w:r>
          </w:p>
          <w:p w:rsidR="0005689C" w:rsidRPr="007F62D4" w:rsidRDefault="0005689C" w:rsidP="0005689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  <w:spacing w:val="-7"/>
                <w:szCs w:val="20"/>
              </w:rPr>
            </w:pPr>
            <w:r w:rsidRPr="007F62D4">
              <w:rPr>
                <w:rFonts w:asciiTheme="minorHAnsi" w:hAnsiTheme="minorHAnsi"/>
                <w:color w:val="000000"/>
                <w:spacing w:val="-7"/>
                <w:szCs w:val="20"/>
              </w:rPr>
              <w:t>M. D. Cobzeanu - Curs patologie otolaringologică şi cervico-facială. Ed</w:t>
            </w:r>
            <w:r w:rsidR="007F62D4">
              <w:rPr>
                <w:rFonts w:asciiTheme="minorHAnsi" w:hAnsiTheme="minorHAnsi"/>
                <w:color w:val="000000"/>
                <w:spacing w:val="-7"/>
                <w:szCs w:val="20"/>
              </w:rPr>
              <w:t xml:space="preserve"> </w:t>
            </w:r>
            <w:r w:rsidRPr="007F62D4">
              <w:rPr>
                <w:rFonts w:asciiTheme="minorHAnsi" w:hAnsiTheme="minorHAnsi"/>
                <w:color w:val="000000"/>
                <w:spacing w:val="-9"/>
                <w:szCs w:val="20"/>
              </w:rPr>
              <w:t>PIM, 2003</w:t>
            </w:r>
          </w:p>
          <w:p w:rsidR="0005689C" w:rsidRPr="007F62D4" w:rsidRDefault="0005689C" w:rsidP="0005689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  <w:spacing w:val="-7"/>
                <w:szCs w:val="20"/>
              </w:rPr>
            </w:pPr>
            <w:r w:rsidRPr="007F62D4">
              <w:rPr>
                <w:rFonts w:asciiTheme="minorHAnsi" w:hAnsiTheme="minorHAnsi"/>
                <w:color w:val="000000"/>
                <w:spacing w:val="-9"/>
                <w:szCs w:val="20"/>
              </w:rPr>
              <w:t>M. D. Cobzeanu si colab. – Compendiu de patologie oto-rino-laringologica si chirurgie cervico-faciala, Editura Junimea , Iasi , 2009</w:t>
            </w:r>
          </w:p>
          <w:p w:rsidR="0005689C" w:rsidRPr="007F62D4" w:rsidRDefault="0005689C" w:rsidP="007F62D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color w:val="000000"/>
                <w:szCs w:val="20"/>
              </w:rPr>
              <w:t xml:space="preserve">R.   Călăraşu,   Tr.   Ataman,   V.   Zainea   -   Manual   de   </w:t>
            </w:r>
            <w:r w:rsidR="007F62D4">
              <w:rPr>
                <w:rFonts w:asciiTheme="minorHAnsi" w:hAnsiTheme="minorHAnsi"/>
                <w:color w:val="000000"/>
                <w:szCs w:val="20"/>
              </w:rPr>
              <w:t xml:space="preserve">patologie </w:t>
            </w:r>
            <w:r w:rsidRPr="007F62D4">
              <w:rPr>
                <w:rFonts w:asciiTheme="minorHAnsi" w:hAnsiTheme="minorHAnsi"/>
                <w:color w:val="000000"/>
                <w:spacing w:val="-5"/>
                <w:szCs w:val="20"/>
              </w:rPr>
              <w:t>otorinolaringologică şi chirurgie cervico-</w:t>
            </w:r>
            <w:r w:rsidR="007F62D4">
              <w:rPr>
                <w:rFonts w:asciiTheme="minorHAnsi" w:hAnsiTheme="minorHAnsi"/>
                <w:color w:val="000000"/>
                <w:spacing w:val="-5"/>
                <w:szCs w:val="20"/>
              </w:rPr>
              <w:t xml:space="preserve">facială. Ed. Univ. Carol Davila, </w:t>
            </w:r>
            <w:r w:rsidRPr="007F62D4">
              <w:rPr>
                <w:rFonts w:asciiTheme="minorHAnsi" w:hAnsiTheme="minorHAnsi"/>
                <w:color w:val="000000"/>
                <w:spacing w:val="-6"/>
                <w:szCs w:val="20"/>
              </w:rPr>
              <w:t>Bucureşti, 2000.</w:t>
            </w:r>
          </w:p>
        </w:tc>
      </w:tr>
      <w:tr w:rsidR="0005689C" w:rsidRPr="007F62D4" w:rsidTr="007E71FE">
        <w:trPr>
          <w:cantSplit/>
          <w:trHeight w:val="612"/>
        </w:trPr>
        <w:tc>
          <w:tcPr>
            <w:tcW w:w="7774" w:type="dxa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>8.2. Seminar / Laboratory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 xml:space="preserve">Teaching methods 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>Comments</w:t>
            </w: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Otolaryngology – generalities;</w:t>
            </w:r>
          </w:p>
          <w:p w:rsidR="0005689C" w:rsidRPr="007F62D4" w:rsidRDefault="0005689C" w:rsidP="0005689C">
            <w:pPr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E.N.T. examination and health history taking; patient’s record in otolaryngology.</w:t>
            </w:r>
          </w:p>
          <w:p w:rsidR="0005689C" w:rsidRPr="007F62D4" w:rsidRDefault="0005689C" w:rsidP="0005689C">
            <w:pPr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Instruments and equipments used in otolaryngology.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E.N.T. examination using head mirror.</w:t>
            </w:r>
          </w:p>
          <w:p w:rsidR="0005689C" w:rsidRPr="007F62D4" w:rsidRDefault="0005689C" w:rsidP="0005689C">
            <w:pPr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Clinical assessment of cranial nerves functions.</w:t>
            </w:r>
          </w:p>
          <w:p w:rsidR="0005689C" w:rsidRPr="007F62D4" w:rsidRDefault="0005689C" w:rsidP="003E73BB">
            <w:pPr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Clinical case presentations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7E71FE">
            <w:pPr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432" w:hanging="72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 xml:space="preserve">Physical examination in pharyngeal disorders: </w:t>
            </w:r>
          </w:p>
          <w:p w:rsidR="0005689C" w:rsidRPr="007F62D4" w:rsidRDefault="0005689C" w:rsidP="0005689C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mouth and pharynx examination with a tongue blade;</w:t>
            </w:r>
          </w:p>
          <w:p w:rsidR="0005689C" w:rsidRPr="007F62D4" w:rsidRDefault="0005689C" w:rsidP="0005689C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posterior rhinoscopy.</w:t>
            </w:r>
          </w:p>
          <w:p w:rsidR="0005689C" w:rsidRPr="007F62D4" w:rsidRDefault="0005689C" w:rsidP="0005689C">
            <w:pPr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Pharyngeal exsudate samples and pharyngeal biopsies samples obtaining techniques</w:t>
            </w:r>
          </w:p>
          <w:p w:rsidR="0005689C" w:rsidRPr="007F62D4" w:rsidRDefault="0005689C" w:rsidP="0005689C">
            <w:pPr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 xml:space="preserve">Clinical case presentations of acute and chronic inflammatory diseases of pharynx; opportunity for students to perform mouth and pharynx examination 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Complications of acute and chronic tonsillitis – clinical aspects.</w:t>
            </w:r>
          </w:p>
          <w:p w:rsidR="0005689C" w:rsidRPr="007F62D4" w:rsidRDefault="0005689C" w:rsidP="0005689C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Techniques of surgical treatment in peritonsillar and retropharyngeal abcesses.</w:t>
            </w:r>
          </w:p>
          <w:p w:rsidR="0005689C" w:rsidRPr="007F62D4" w:rsidRDefault="0005689C" w:rsidP="0005689C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Physical examination in chronic adenoiditis.</w:t>
            </w:r>
          </w:p>
          <w:p w:rsidR="0005689C" w:rsidRPr="007F62D4" w:rsidRDefault="0005689C" w:rsidP="0005689C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Indications for tonsillectomy and adenoidectomy; conditions contraindicating tonsillectomy and adenoidectomy.</w:t>
            </w:r>
            <w:bookmarkStart w:id="0" w:name="_GoBack"/>
            <w:bookmarkEnd w:id="0"/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Physical examinations in pharyngeal tumoral disorders; physical neck lymph nodes examination.</w:t>
            </w:r>
          </w:p>
          <w:p w:rsidR="0005689C" w:rsidRPr="007F62D4" w:rsidRDefault="0005689C" w:rsidP="0005689C">
            <w:pPr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 xml:space="preserve">Malignant tumors (nasopharynx, oropharynx and hypopharynx) – clinical case presentations; physical examination performed by students 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 xml:space="preserve">Removal techniques of pharyngeal and oesophageal foreign bodies </w:t>
            </w:r>
          </w:p>
          <w:p w:rsidR="0005689C" w:rsidRPr="007F62D4" w:rsidRDefault="0005689C" w:rsidP="0005689C">
            <w:pPr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Emergency therapy for oesophageal chemical burns.</w:t>
            </w:r>
          </w:p>
          <w:p w:rsidR="0005689C" w:rsidRPr="007F62D4" w:rsidRDefault="0005689C" w:rsidP="0005689C">
            <w:pPr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Neck masses examination performed by students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Physical examination of larynx.</w:t>
            </w:r>
          </w:p>
          <w:p w:rsidR="0005689C" w:rsidRPr="007F62D4" w:rsidRDefault="0005689C" w:rsidP="0005689C">
            <w:pPr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Laryngoscope and mirror examination of larynx.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Inflammatory laryngeal disorders in adult and childhood age; clinical case presentations.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lastRenderedPageBreak/>
              <w:t>Laryngeal tumours – clinical cases.</w:t>
            </w:r>
          </w:p>
          <w:p w:rsidR="0005689C" w:rsidRPr="007F62D4" w:rsidRDefault="0005689C" w:rsidP="0005689C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Treatment techniques in foreign bodies of larynx, trachea and bronchial tree.</w:t>
            </w:r>
          </w:p>
          <w:p w:rsidR="0005689C" w:rsidRPr="007F62D4" w:rsidRDefault="0005689C" w:rsidP="0005689C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 xml:space="preserve">Tracheotomy – indications, techniques, tracheostoma’s care. 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Test paper</w:t>
            </w:r>
          </w:p>
          <w:p w:rsidR="0005689C" w:rsidRPr="007F62D4" w:rsidRDefault="0005689C" w:rsidP="0005689C">
            <w:pPr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Physical ENT examination performed by students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Symptoms, signs and physical examination in sinonasal disorders.</w:t>
            </w:r>
          </w:p>
          <w:p w:rsidR="0005689C" w:rsidRPr="007F62D4" w:rsidRDefault="0005689C" w:rsidP="0005689C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Anterior rhinoscopy.</w:t>
            </w:r>
          </w:p>
          <w:p w:rsidR="0005689C" w:rsidRPr="007F62D4" w:rsidRDefault="0005689C" w:rsidP="0005689C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Maxillary sinus puncture.</w:t>
            </w:r>
          </w:p>
          <w:p w:rsidR="0005689C" w:rsidRPr="007F62D4" w:rsidRDefault="0005689C" w:rsidP="0005689C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 xml:space="preserve">Clinical case presentations 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Treatment techniques in epistaxis.</w:t>
            </w:r>
          </w:p>
          <w:p w:rsidR="0005689C" w:rsidRPr="007F62D4" w:rsidRDefault="0005689C" w:rsidP="0005689C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Nasal fractures reduction techniques.</w:t>
            </w:r>
          </w:p>
          <w:p w:rsidR="0005689C" w:rsidRPr="007F62D4" w:rsidRDefault="0005689C" w:rsidP="0005689C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Nasal obstruction treatment techniques.</w:t>
            </w:r>
          </w:p>
          <w:p w:rsidR="0005689C" w:rsidRPr="007F62D4" w:rsidRDefault="0005689C" w:rsidP="0005689C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Nasal foreign bodies removal.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Ear examination techniques.</w:t>
            </w:r>
          </w:p>
          <w:p w:rsidR="0005689C" w:rsidRPr="007F62D4" w:rsidRDefault="0005689C" w:rsidP="0005689C">
            <w:pPr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Acute and chronic inflammatory disorders of the ear; clinical cases.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rPr>
          <w:trHeight w:val="2295"/>
        </w:trPr>
        <w:tc>
          <w:tcPr>
            <w:tcW w:w="7774" w:type="dxa"/>
            <w:shd w:val="clear" w:color="auto" w:fill="auto"/>
          </w:tcPr>
          <w:p w:rsidR="0005689C" w:rsidRPr="007F62D4" w:rsidRDefault="0005689C" w:rsidP="0005689C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Ear canal foreign bodies – removal techniques.</w:t>
            </w:r>
          </w:p>
          <w:p w:rsidR="0005689C" w:rsidRPr="007F62D4" w:rsidRDefault="0005689C" w:rsidP="0005689C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/>
                <w:szCs w:val="20"/>
                <w:lang w:val="fr-FR"/>
              </w:rPr>
            </w:pPr>
            <w:proofErr w:type="spellStart"/>
            <w:r w:rsidRPr="007F62D4">
              <w:rPr>
                <w:rFonts w:asciiTheme="minorHAnsi" w:hAnsiTheme="minorHAnsi"/>
                <w:szCs w:val="20"/>
                <w:lang w:val="fr-FR"/>
              </w:rPr>
              <w:t>Ear</w:t>
            </w:r>
            <w:proofErr w:type="spellEnd"/>
            <w:r w:rsidRPr="007F62D4">
              <w:rPr>
                <w:rFonts w:asciiTheme="minorHAnsi" w:hAnsiTheme="minorHAnsi"/>
                <w:szCs w:val="20"/>
                <w:lang w:val="fr-FR"/>
              </w:rPr>
              <w:t xml:space="preserve"> canal irrigation – indications, </w:t>
            </w:r>
            <w:proofErr w:type="spellStart"/>
            <w:r w:rsidRPr="007F62D4">
              <w:rPr>
                <w:rFonts w:asciiTheme="minorHAnsi" w:hAnsiTheme="minorHAnsi"/>
                <w:szCs w:val="20"/>
                <w:lang w:val="fr-FR"/>
              </w:rPr>
              <w:t>contraindications</w:t>
            </w:r>
            <w:proofErr w:type="spellEnd"/>
            <w:r w:rsidRPr="007F62D4">
              <w:rPr>
                <w:rFonts w:asciiTheme="minorHAnsi" w:hAnsiTheme="minorHAnsi"/>
                <w:szCs w:val="20"/>
                <w:lang w:val="fr-FR"/>
              </w:rPr>
              <w:t>, technique.</w:t>
            </w:r>
          </w:p>
          <w:p w:rsidR="0005689C" w:rsidRPr="007F62D4" w:rsidRDefault="0005689C" w:rsidP="0005689C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External ear trauma; treatment techniques.</w:t>
            </w:r>
          </w:p>
          <w:p w:rsidR="0005689C" w:rsidRPr="007F62D4" w:rsidRDefault="0005689C" w:rsidP="0005689C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Ear secretions samples obtaining techniques; myringotomy (timpanocentesis) techniques.</w:t>
            </w:r>
          </w:p>
          <w:p w:rsidR="0005689C" w:rsidRPr="007F62D4" w:rsidRDefault="0005689C" w:rsidP="0005689C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Incision and drainage technique in external ear canal furuncle.</w:t>
            </w:r>
          </w:p>
          <w:p w:rsidR="0005689C" w:rsidRPr="007F62D4" w:rsidRDefault="0005689C" w:rsidP="0005689C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Assessment of auditory function – tuning fork tests, hearing measurement (audiometry, tympanometry).</w:t>
            </w:r>
          </w:p>
          <w:p w:rsidR="0005689C" w:rsidRPr="007F62D4" w:rsidRDefault="0005689C" w:rsidP="0005689C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szCs w:val="20"/>
              </w:rPr>
              <w:t>Hearing loss identification in adult and children.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05689C" w:rsidRPr="007F62D4" w:rsidRDefault="0005689C" w:rsidP="0096788A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89C" w:rsidRPr="007F62D4" w:rsidTr="007E71FE">
        <w:tc>
          <w:tcPr>
            <w:tcW w:w="10890" w:type="dxa"/>
            <w:gridSpan w:val="5"/>
            <w:shd w:val="clear" w:color="auto" w:fill="auto"/>
          </w:tcPr>
          <w:p w:rsidR="0005689C" w:rsidRPr="007F62D4" w:rsidRDefault="0005689C" w:rsidP="00135259">
            <w:pPr>
              <w:spacing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>Bibliography</w:t>
            </w:r>
          </w:p>
          <w:p w:rsidR="0005689C" w:rsidRPr="007F62D4" w:rsidRDefault="0005689C" w:rsidP="0005689C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color w:val="000000"/>
                <w:spacing w:val="-4"/>
                <w:szCs w:val="20"/>
              </w:rPr>
              <w:t>Tr. Ataman - Examinarea otorinolaringologică, Ed. Tehnică Bucureşti,</w:t>
            </w:r>
            <w:r w:rsidRPr="007F62D4">
              <w:rPr>
                <w:rFonts w:asciiTheme="minorHAnsi" w:hAnsiTheme="minorHAnsi"/>
                <w:color w:val="000000"/>
                <w:spacing w:val="-4"/>
                <w:szCs w:val="20"/>
              </w:rPr>
              <w:br/>
            </w:r>
            <w:r w:rsidRPr="007F62D4">
              <w:rPr>
                <w:rFonts w:asciiTheme="minorHAnsi" w:hAnsiTheme="minorHAnsi"/>
                <w:color w:val="000000"/>
                <w:spacing w:val="-8"/>
                <w:szCs w:val="20"/>
              </w:rPr>
              <w:t xml:space="preserve">2003 </w:t>
            </w:r>
          </w:p>
          <w:p w:rsidR="0005689C" w:rsidRPr="007F62D4" w:rsidRDefault="0005689C" w:rsidP="0005689C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Theme="minorHAnsi" w:hAnsiTheme="minorHAnsi"/>
                <w:szCs w:val="20"/>
              </w:rPr>
            </w:pPr>
            <w:r w:rsidRPr="007F62D4">
              <w:rPr>
                <w:rFonts w:asciiTheme="minorHAnsi" w:hAnsiTheme="minorHAnsi"/>
                <w:color w:val="000000"/>
                <w:spacing w:val="-8"/>
                <w:szCs w:val="20"/>
              </w:rPr>
              <w:t>Tr. Ataman si colab. – Diagnosticul diferential in otorinolaringologie , Editura Sitech Craiova , 2006.</w:t>
            </w:r>
          </w:p>
          <w:p w:rsidR="0005689C" w:rsidRPr="007F62D4" w:rsidRDefault="0005689C" w:rsidP="00135259">
            <w:pPr>
              <w:spacing w:line="276" w:lineRule="auto"/>
              <w:rPr>
                <w:rFonts w:asciiTheme="minorHAnsi" w:hAnsiTheme="minorHAnsi"/>
                <w:szCs w:val="20"/>
                <w:lang w:val="it-IT"/>
              </w:rPr>
            </w:pPr>
          </w:p>
        </w:tc>
      </w:tr>
    </w:tbl>
    <w:p w:rsidR="00135259" w:rsidRPr="007F62D4" w:rsidRDefault="00135259" w:rsidP="00135259">
      <w:pPr>
        <w:spacing w:line="276" w:lineRule="auto"/>
        <w:rPr>
          <w:rFonts w:asciiTheme="minorHAnsi" w:hAnsiTheme="minorHAnsi"/>
          <w:szCs w:val="20"/>
          <w:lang w:val="es-ES_tradnl"/>
        </w:rPr>
      </w:pPr>
    </w:p>
    <w:p w:rsidR="00135259" w:rsidRPr="007F62D4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rFonts w:asciiTheme="minorHAnsi" w:hAnsiTheme="minorHAnsi"/>
          <w:b/>
          <w:bCs/>
          <w:szCs w:val="20"/>
          <w:lang w:val="en-US"/>
        </w:rPr>
      </w:pPr>
      <w:r w:rsidRPr="007F62D4">
        <w:rPr>
          <w:rStyle w:val="ln2tpunct"/>
          <w:rFonts w:asciiTheme="minorHAnsi" w:hAnsiTheme="minorHAnsi"/>
          <w:b/>
          <w:bCs/>
          <w:szCs w:val="20"/>
          <w:lang w:val="en-US"/>
        </w:rPr>
        <w:t xml:space="preserve">Correlations between the contents of the discipline and the expectations of the epistemic community, of </w:t>
      </w:r>
      <w:proofErr w:type="spellStart"/>
      <w:r w:rsidRPr="007F62D4">
        <w:rPr>
          <w:rStyle w:val="ln2tpunct"/>
          <w:rFonts w:asciiTheme="minorHAnsi" w:hAnsiTheme="minorHAnsi"/>
          <w:b/>
          <w:bCs/>
          <w:szCs w:val="20"/>
          <w:lang w:val="en-US"/>
        </w:rPr>
        <w:t>profesional</w:t>
      </w:r>
      <w:proofErr w:type="spellEnd"/>
      <w:r w:rsidRPr="007F62D4">
        <w:rPr>
          <w:rStyle w:val="ln2tpunct"/>
          <w:rFonts w:asciiTheme="minorHAnsi" w:hAnsiTheme="minorHAnsi"/>
          <w:b/>
          <w:bCs/>
          <w:szCs w:val="20"/>
          <w:lang w:val="en-US"/>
        </w:rPr>
        <w:t xml:space="preserve"> associations and of employers in the field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2"/>
      </w:tblGrid>
      <w:tr w:rsidR="00135259" w:rsidRPr="007F62D4" w:rsidTr="007046B1">
        <w:tc>
          <w:tcPr>
            <w:tcW w:w="10812" w:type="dxa"/>
            <w:shd w:val="clear" w:color="auto" w:fill="auto"/>
          </w:tcPr>
          <w:p w:rsidR="00135259" w:rsidRPr="007F62D4" w:rsidRDefault="007046B1" w:rsidP="0096788A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Cs w:val="20"/>
                <w:lang w:val="en-US"/>
              </w:rPr>
            </w:pP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Knowledge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abilities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established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as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didactic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objectives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specified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as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such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analytic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programs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that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revised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yearly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.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After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their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analysis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by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study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discipline staff,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these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discussed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approved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Curricular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Committee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,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towards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curricular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harmonization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among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various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study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disciplines.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Along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this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entire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process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systematic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evaluation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is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performed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,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directly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if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possible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,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regarding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correspondence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contents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to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expectations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academic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community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and of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representatives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social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community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,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professional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associations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, and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employers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. As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primary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goal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discipline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intends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to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offer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students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optimal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background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for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following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years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study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program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for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License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in Medicine, in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the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perspective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successfully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hiring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,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immediately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after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graduation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, in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residence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programs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from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Romania and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other</w:t>
            </w:r>
            <w:proofErr w:type="spellEnd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 xml:space="preserve"> EU </w:t>
            </w:r>
            <w:proofErr w:type="spellStart"/>
            <w:r w:rsidRPr="007F62D4">
              <w:rPr>
                <w:rFonts w:asciiTheme="minorHAnsi" w:hAnsiTheme="minorHAnsi"/>
                <w:bCs/>
                <w:szCs w:val="20"/>
                <w:lang w:val="es-ES_tradnl"/>
              </w:rPr>
              <w:t>countries</w:t>
            </w:r>
            <w:proofErr w:type="spellEnd"/>
          </w:p>
        </w:tc>
      </w:tr>
    </w:tbl>
    <w:p w:rsidR="00135259" w:rsidRPr="007F62D4" w:rsidRDefault="00135259" w:rsidP="00135259">
      <w:pPr>
        <w:spacing w:line="276" w:lineRule="auto"/>
        <w:jc w:val="both"/>
        <w:rPr>
          <w:rFonts w:asciiTheme="minorHAnsi" w:hAnsiTheme="minorHAnsi"/>
          <w:b/>
          <w:bCs/>
          <w:szCs w:val="20"/>
          <w:lang w:val="en-US"/>
        </w:rPr>
      </w:pPr>
    </w:p>
    <w:p w:rsidR="00135259" w:rsidRPr="007F62D4" w:rsidRDefault="00135259" w:rsidP="0013525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bCs/>
          <w:szCs w:val="20"/>
        </w:rPr>
      </w:pPr>
      <w:r w:rsidRPr="007F62D4">
        <w:rPr>
          <w:rFonts w:asciiTheme="minorHAnsi" w:hAnsiTheme="minorHAnsi"/>
          <w:b/>
          <w:bCs/>
          <w:szCs w:val="20"/>
        </w:rPr>
        <w:t>Evaluation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3648"/>
        <w:gridCol w:w="2100"/>
        <w:gridCol w:w="1706"/>
      </w:tblGrid>
      <w:tr w:rsidR="00135259" w:rsidRPr="007F62D4" w:rsidTr="007046B1">
        <w:trPr>
          <w:trHeight w:val="927"/>
        </w:trPr>
        <w:tc>
          <w:tcPr>
            <w:tcW w:w="3358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 xml:space="preserve">Type of activity </w:t>
            </w:r>
          </w:p>
        </w:tc>
        <w:tc>
          <w:tcPr>
            <w:tcW w:w="3648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 xml:space="preserve">10.1. Evaluation criteria: </w:t>
            </w:r>
          </w:p>
        </w:tc>
        <w:tc>
          <w:tcPr>
            <w:tcW w:w="2100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>10.2. Methods of evaluation</w:t>
            </w:r>
          </w:p>
        </w:tc>
        <w:tc>
          <w:tcPr>
            <w:tcW w:w="1706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7F62D4">
              <w:rPr>
                <w:rFonts w:asciiTheme="minorHAnsi" w:hAnsiTheme="minorHAnsi"/>
                <w:b/>
                <w:bCs/>
                <w:szCs w:val="20"/>
              </w:rPr>
              <w:t>10.3. Percentage of final grade</w:t>
            </w:r>
          </w:p>
        </w:tc>
      </w:tr>
      <w:tr w:rsidR="00135259" w:rsidRPr="007F62D4" w:rsidTr="007046B1">
        <w:tc>
          <w:tcPr>
            <w:tcW w:w="3358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7F62D4">
              <w:rPr>
                <w:b/>
                <w:bCs/>
                <w:szCs w:val="20"/>
              </w:rPr>
              <w:t>10.4. Lecture</w:t>
            </w:r>
          </w:p>
        </w:tc>
        <w:tc>
          <w:tcPr>
            <w:tcW w:w="3648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rPr>
                <w:bCs/>
                <w:szCs w:val="20"/>
                <w:lang w:val="it-IT"/>
              </w:rPr>
            </w:pPr>
            <w:r w:rsidRPr="007F62D4">
              <w:rPr>
                <w:bCs/>
                <w:szCs w:val="20"/>
                <w:lang w:val="it-IT"/>
              </w:rPr>
              <w:t>Grade for multiple choice test</w:t>
            </w:r>
          </w:p>
        </w:tc>
        <w:tc>
          <w:tcPr>
            <w:tcW w:w="2100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bCs/>
                <w:szCs w:val="20"/>
              </w:rPr>
            </w:pPr>
            <w:r w:rsidRPr="007F62D4">
              <w:rPr>
                <w:bCs/>
                <w:szCs w:val="20"/>
              </w:rPr>
              <w:t>standardized multiple choice test</w:t>
            </w:r>
          </w:p>
        </w:tc>
        <w:tc>
          <w:tcPr>
            <w:tcW w:w="1706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center"/>
              <w:rPr>
                <w:bCs/>
                <w:szCs w:val="20"/>
              </w:rPr>
            </w:pPr>
            <w:r w:rsidRPr="007F62D4">
              <w:rPr>
                <w:bCs/>
                <w:szCs w:val="20"/>
              </w:rPr>
              <w:t>50%</w:t>
            </w:r>
          </w:p>
        </w:tc>
      </w:tr>
      <w:tr w:rsidR="00135259" w:rsidRPr="007F62D4" w:rsidTr="007046B1">
        <w:tc>
          <w:tcPr>
            <w:tcW w:w="3358" w:type="dxa"/>
            <w:vMerge w:val="restart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7F62D4">
              <w:rPr>
                <w:b/>
                <w:bCs/>
                <w:szCs w:val="20"/>
              </w:rPr>
              <w:t>10.5. Seminar / Laboratory</w:t>
            </w:r>
          </w:p>
        </w:tc>
        <w:tc>
          <w:tcPr>
            <w:tcW w:w="3648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rPr>
                <w:bCs/>
                <w:szCs w:val="20"/>
                <w:lang w:val="en-US"/>
              </w:rPr>
            </w:pPr>
            <w:r w:rsidRPr="007F62D4">
              <w:rPr>
                <w:bCs/>
                <w:szCs w:val="20"/>
                <w:lang w:val="en-US"/>
              </w:rPr>
              <w:t>Average grade of ongoing examinations</w:t>
            </w:r>
          </w:p>
        </w:tc>
        <w:tc>
          <w:tcPr>
            <w:tcW w:w="2100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bCs/>
                <w:szCs w:val="20"/>
              </w:rPr>
            </w:pPr>
            <w:r w:rsidRPr="007F62D4">
              <w:rPr>
                <w:bCs/>
                <w:szCs w:val="20"/>
              </w:rPr>
              <w:t>ongoing evaluation</w:t>
            </w:r>
          </w:p>
        </w:tc>
        <w:tc>
          <w:tcPr>
            <w:tcW w:w="1706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center"/>
              <w:rPr>
                <w:bCs/>
                <w:szCs w:val="20"/>
              </w:rPr>
            </w:pPr>
            <w:r w:rsidRPr="007F62D4">
              <w:rPr>
                <w:bCs/>
                <w:szCs w:val="20"/>
              </w:rPr>
              <w:t>10%</w:t>
            </w:r>
          </w:p>
        </w:tc>
      </w:tr>
      <w:tr w:rsidR="00135259" w:rsidRPr="007F62D4" w:rsidTr="007046B1">
        <w:tc>
          <w:tcPr>
            <w:tcW w:w="3358" w:type="dxa"/>
            <w:vMerge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rPr>
                <w:bCs/>
                <w:szCs w:val="20"/>
                <w:lang w:val="es-ES_tradnl"/>
              </w:rPr>
            </w:pPr>
            <w:r w:rsidRPr="007F62D4">
              <w:rPr>
                <w:bCs/>
                <w:szCs w:val="20"/>
                <w:lang w:val="es-ES_tradnl"/>
              </w:rPr>
              <w:t xml:space="preserve">Grade </w:t>
            </w:r>
            <w:proofErr w:type="spellStart"/>
            <w:r w:rsidRPr="007F62D4">
              <w:rPr>
                <w:bCs/>
                <w:szCs w:val="20"/>
                <w:lang w:val="es-ES_tradnl"/>
              </w:rPr>
              <w:t>for</w:t>
            </w:r>
            <w:proofErr w:type="spellEnd"/>
            <w:r w:rsidRPr="007F62D4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bCs/>
                <w:szCs w:val="20"/>
                <w:lang w:val="es-ES_tradnl"/>
              </w:rPr>
              <w:t>practical</w:t>
            </w:r>
            <w:proofErr w:type="spellEnd"/>
            <w:r w:rsidRPr="007F62D4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7F62D4">
              <w:rPr>
                <w:bCs/>
                <w:szCs w:val="20"/>
                <w:lang w:val="es-ES_tradnl"/>
              </w:rPr>
              <w:t>examination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bCs/>
                <w:szCs w:val="20"/>
              </w:rPr>
            </w:pPr>
            <w:r w:rsidRPr="007F62D4">
              <w:rPr>
                <w:bCs/>
                <w:szCs w:val="20"/>
              </w:rPr>
              <w:t>practical exam</w:t>
            </w:r>
          </w:p>
        </w:tc>
        <w:tc>
          <w:tcPr>
            <w:tcW w:w="1706" w:type="dxa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center"/>
              <w:rPr>
                <w:bCs/>
                <w:szCs w:val="20"/>
              </w:rPr>
            </w:pPr>
            <w:r w:rsidRPr="007F62D4">
              <w:rPr>
                <w:bCs/>
                <w:szCs w:val="20"/>
              </w:rPr>
              <w:t>40%</w:t>
            </w:r>
          </w:p>
        </w:tc>
      </w:tr>
      <w:tr w:rsidR="00135259" w:rsidRPr="007F62D4" w:rsidTr="007046B1">
        <w:tc>
          <w:tcPr>
            <w:tcW w:w="10812" w:type="dxa"/>
            <w:gridSpan w:val="4"/>
            <w:shd w:val="clear" w:color="auto" w:fill="auto"/>
          </w:tcPr>
          <w:p w:rsidR="00135259" w:rsidRPr="007F62D4" w:rsidRDefault="00135259" w:rsidP="0096788A">
            <w:pPr>
              <w:spacing w:line="276" w:lineRule="auto"/>
              <w:jc w:val="both"/>
              <w:rPr>
                <w:b/>
                <w:bCs/>
                <w:szCs w:val="20"/>
                <w:lang w:val="it-IT"/>
              </w:rPr>
            </w:pPr>
            <w:r w:rsidRPr="007F62D4">
              <w:rPr>
                <w:b/>
                <w:bCs/>
                <w:szCs w:val="20"/>
                <w:lang w:val="it-IT"/>
              </w:rPr>
              <w:t>Minimum standard of performance: at least grade 5 to pass the discipline</w:t>
            </w:r>
          </w:p>
        </w:tc>
      </w:tr>
    </w:tbl>
    <w:p w:rsidR="00135259" w:rsidRPr="007F62D4" w:rsidRDefault="00135259" w:rsidP="00135259">
      <w:pPr>
        <w:spacing w:line="276" w:lineRule="auto"/>
        <w:jc w:val="both"/>
        <w:rPr>
          <w:b/>
          <w:bCs/>
          <w:szCs w:val="20"/>
        </w:rPr>
      </w:pPr>
    </w:p>
    <w:p w:rsidR="00135259" w:rsidRPr="007F62D4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7F62D4">
        <w:rPr>
          <w:b/>
          <w:bCs/>
          <w:szCs w:val="20"/>
          <w:lang w:val="pt-BR"/>
        </w:rPr>
        <w:t>Date:</w:t>
      </w:r>
      <w:r w:rsidRPr="007F62D4">
        <w:rPr>
          <w:b/>
          <w:bCs/>
          <w:szCs w:val="20"/>
          <w:lang w:val="pt-BR"/>
        </w:rPr>
        <w:tab/>
      </w:r>
      <w:r w:rsidR="00BF5F0C" w:rsidRPr="007F62D4">
        <w:rPr>
          <w:b/>
          <w:bCs/>
          <w:szCs w:val="20"/>
          <w:lang w:val="pt-BR"/>
        </w:rPr>
        <w:t>07.10.2019</w:t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  <w:t xml:space="preserve">Signiture of Didactic Co-ordinator   </w:t>
      </w:r>
    </w:p>
    <w:p w:rsidR="00135259" w:rsidRPr="007F62D4" w:rsidRDefault="00FE2EC0" w:rsidP="00FE2EC0">
      <w:pPr>
        <w:spacing w:line="276" w:lineRule="auto"/>
        <w:ind w:left="4956" w:firstLine="708"/>
        <w:jc w:val="both"/>
        <w:rPr>
          <w:b/>
          <w:bCs/>
          <w:szCs w:val="20"/>
          <w:lang w:val="pt-BR"/>
        </w:rPr>
      </w:pPr>
      <w:r w:rsidRPr="007F62D4">
        <w:rPr>
          <w:b/>
          <w:bCs/>
          <w:szCs w:val="20"/>
          <w:lang w:val="pt-BR"/>
        </w:rPr>
        <w:t>PROF.UNIV.DR. MIHAIL DAN COBZEANU</w:t>
      </w:r>
    </w:p>
    <w:p w:rsidR="00135259" w:rsidRPr="007F62D4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FE2EC0" w:rsidRPr="007F62D4" w:rsidRDefault="00FE2EC0" w:rsidP="00FE2EC0">
      <w:pPr>
        <w:spacing w:line="276" w:lineRule="auto"/>
        <w:jc w:val="both"/>
        <w:rPr>
          <w:b/>
          <w:bCs/>
          <w:szCs w:val="20"/>
          <w:lang w:val="pt-BR"/>
        </w:rPr>
      </w:pPr>
    </w:p>
    <w:p w:rsidR="00FE2EC0" w:rsidRPr="007F62D4" w:rsidRDefault="00135259" w:rsidP="00FE2EC0">
      <w:pPr>
        <w:spacing w:line="276" w:lineRule="auto"/>
        <w:jc w:val="both"/>
        <w:rPr>
          <w:b/>
          <w:bCs/>
          <w:szCs w:val="20"/>
          <w:lang w:val="pt-BR"/>
        </w:rPr>
      </w:pPr>
      <w:r w:rsidRPr="007F62D4">
        <w:rPr>
          <w:b/>
          <w:bCs/>
          <w:szCs w:val="20"/>
          <w:lang w:val="pt-BR"/>
        </w:rPr>
        <w:lastRenderedPageBreak/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 xml:space="preserve">Signiture of Department Director </w:t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ab/>
      </w:r>
      <w:r w:rsidR="00FE2EC0" w:rsidRPr="007F62D4">
        <w:rPr>
          <w:b/>
          <w:bCs/>
          <w:szCs w:val="20"/>
          <w:lang w:val="pt-BR"/>
        </w:rPr>
        <w:t>PROF.UNIV.DR. MIHAIL DAN COBZEANU</w:t>
      </w:r>
    </w:p>
    <w:p w:rsidR="005F0B70" w:rsidRPr="007F62D4" w:rsidRDefault="00135259" w:rsidP="0005689C">
      <w:pPr>
        <w:spacing w:line="276" w:lineRule="auto"/>
        <w:jc w:val="both"/>
        <w:rPr>
          <w:szCs w:val="20"/>
        </w:rPr>
      </w:pPr>
      <w:r w:rsidRPr="007F62D4">
        <w:rPr>
          <w:b/>
          <w:bCs/>
          <w:color w:val="FF0000"/>
          <w:szCs w:val="20"/>
          <w:lang w:val="pt-BR"/>
        </w:rPr>
        <w:tab/>
      </w:r>
      <w:r w:rsidRPr="007F62D4">
        <w:rPr>
          <w:b/>
          <w:bCs/>
          <w:szCs w:val="20"/>
          <w:lang w:val="pt-BR"/>
        </w:rPr>
        <w:t xml:space="preserve"> </w:t>
      </w:r>
    </w:p>
    <w:sectPr w:rsidR="005F0B70" w:rsidRPr="007F62D4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66" w:rsidRDefault="00DD7366" w:rsidP="003620AC">
      <w:pPr>
        <w:spacing w:line="240" w:lineRule="auto"/>
      </w:pPr>
      <w:r>
        <w:separator/>
      </w:r>
    </w:p>
  </w:endnote>
  <w:endnote w:type="continuationSeparator" w:id="0">
    <w:p w:rsidR="00DD7366" w:rsidRDefault="00DD7366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DD7366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2055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<v:path arrowok="t"/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0D3598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0D3598" w:rsidRPr="00A314B1">
                  <w:rPr>
                    <w:color w:val="7F7F7F" w:themeColor="text1" w:themeTint="80"/>
                  </w:rPr>
                  <w:fldChar w:fldCharType="separate"/>
                </w:r>
                <w:r w:rsidR="007E71FE">
                  <w:rPr>
                    <w:noProof/>
                    <w:color w:val="7F7F7F" w:themeColor="text1" w:themeTint="80"/>
                  </w:rPr>
                  <w:t>2</w:t>
                </w:r>
                <w:r w:rsidR="000D3598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7E71FE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36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2051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<v:path arrowok="t"/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0D3598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0D3598" w:rsidRPr="00A314B1">
                  <w:rPr>
                    <w:color w:val="7F7F7F" w:themeColor="text1" w:themeTint="80"/>
                  </w:rPr>
                  <w:fldChar w:fldCharType="separate"/>
                </w:r>
                <w:r w:rsidR="007E71FE">
                  <w:rPr>
                    <w:noProof/>
                    <w:color w:val="7F7F7F" w:themeColor="text1" w:themeTint="80"/>
                  </w:rPr>
                  <w:t>1</w:t>
                </w:r>
                <w:r w:rsidR="000D3598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7E71FE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DD7366">
      <w:rPr>
        <w:noProof/>
        <w:lang w:val="en-US"/>
      </w:rPr>
      <w:pict>
        <v:rect id="Dreptunghi 12" o:spid="_x0000_s2050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<v:path arrowok="t"/>
          <w10:wrap type="topAndBottom"/>
        </v:rect>
      </w:pict>
    </w:r>
    <w:r w:rsidR="00DD7366">
      <w:rPr>
        <w:noProof/>
        <w:lang w:val="en-US"/>
      </w:rPr>
      <w:pict>
        <v:shape id="Casetă text 14" o:spid="_x0000_s2049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<v:path arrowok="t"/>
          <v:textbox inset="0,0,0,0">
            <w:txbxContent>
              <w:p w:rsidR="00A85CED" w:rsidRDefault="00DD2BC5" w:rsidP="00A85CED">
                <w:pPr>
                  <w:pStyle w:val="ContactUMF"/>
                  <w:rPr>
                    <w:b/>
                  </w:rPr>
                </w:pPr>
                <w:r>
                  <w:rPr>
                    <w:b/>
                  </w:rPr>
                  <w:t>FACULTATEA DE MEDICINĂ</w:t>
                </w:r>
              </w:p>
              <w:p w:rsidR="0049528C" w:rsidRDefault="004838BF" w:rsidP="004838BF">
                <w:pPr>
                  <w:pStyle w:val="ContactUMF"/>
                </w:pPr>
                <w:r>
                  <w:t xml:space="preserve">+40 232 301 615 tel / +40 232 </w:t>
                </w:r>
                <w:r w:rsidR="00DD2BC5">
                  <w:t>301633</w:t>
                </w:r>
                <w:r>
                  <w:t xml:space="preserve">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66" w:rsidRDefault="00DD7366" w:rsidP="003620AC">
      <w:pPr>
        <w:spacing w:line="240" w:lineRule="auto"/>
      </w:pPr>
      <w:r>
        <w:separator/>
      </w:r>
    </w:p>
  </w:footnote>
  <w:footnote w:type="continuationSeparator" w:id="0">
    <w:p w:rsidR="00DD7366" w:rsidRDefault="00DD7366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DD7366">
    <w:pPr>
      <w:pStyle w:val="Header"/>
    </w:pPr>
    <w:r>
      <w:rPr>
        <w:noProof/>
        <w:lang w:val="en-US"/>
      </w:rPr>
      <w:pict>
        <v:rect id="Dreptunghi 13" o:spid="_x0000_s2054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<v:path arrowok="t"/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53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<v:path arrowok="t"/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  <w:r w:rsidRPr="000F6B2B">
                  <w:t>ȘI CERCETĂRII ȘTIINȚIFICE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2052" type="#_x0000_t202" style="position:absolute;margin-left:75.05pt;margin-top:133.25pt;width:479.95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<v:path arrowok="t"/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D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2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72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057628"/>
    <w:multiLevelType w:val="hybridMultilevel"/>
    <w:tmpl w:val="D022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3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1F17"/>
    <w:multiLevelType w:val="hybridMultilevel"/>
    <w:tmpl w:val="DC3C8A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32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D62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601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0F3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52636A"/>
    <w:multiLevelType w:val="hybridMultilevel"/>
    <w:tmpl w:val="5A90D5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7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46B1A63"/>
    <w:multiLevelType w:val="hybridMultilevel"/>
    <w:tmpl w:val="001437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F4498"/>
    <w:multiLevelType w:val="hybridMultilevel"/>
    <w:tmpl w:val="D76C04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504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95D6EDB"/>
    <w:multiLevelType w:val="hybridMultilevel"/>
    <w:tmpl w:val="227098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B389E"/>
    <w:multiLevelType w:val="singleLevel"/>
    <w:tmpl w:val="6F9889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3931B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BB1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11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FE32D3"/>
    <w:multiLevelType w:val="hybridMultilevel"/>
    <w:tmpl w:val="1A466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26E4"/>
    <w:multiLevelType w:val="hybridMultilevel"/>
    <w:tmpl w:val="6B3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492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AE47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7A7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0AA3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3D65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027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FC6ABE"/>
    <w:multiLevelType w:val="hybridMultilevel"/>
    <w:tmpl w:val="86643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5042F"/>
    <w:multiLevelType w:val="hybridMultilevel"/>
    <w:tmpl w:val="8076AD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74327"/>
    <w:multiLevelType w:val="hybridMultilevel"/>
    <w:tmpl w:val="E612B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B405D"/>
    <w:multiLevelType w:val="hybridMultilevel"/>
    <w:tmpl w:val="C80C0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3439EF"/>
    <w:multiLevelType w:val="hybridMultilevel"/>
    <w:tmpl w:val="4D38B9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F5B1E"/>
    <w:multiLevelType w:val="hybridMultilevel"/>
    <w:tmpl w:val="A912A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8"/>
  </w:num>
  <w:num w:numId="5">
    <w:abstractNumId w:val="25"/>
  </w:num>
  <w:num w:numId="6">
    <w:abstractNumId w:val="11"/>
  </w:num>
  <w:num w:numId="7">
    <w:abstractNumId w:val="7"/>
  </w:num>
  <w:num w:numId="8">
    <w:abstractNumId w:val="16"/>
  </w:num>
  <w:num w:numId="9">
    <w:abstractNumId w:val="36"/>
  </w:num>
  <w:num w:numId="10">
    <w:abstractNumId w:val="14"/>
  </w:num>
  <w:num w:numId="11">
    <w:abstractNumId w:val="19"/>
  </w:num>
  <w:num w:numId="12">
    <w:abstractNumId w:val="37"/>
  </w:num>
  <w:num w:numId="13">
    <w:abstractNumId w:val="24"/>
  </w:num>
  <w:num w:numId="14">
    <w:abstractNumId w:val="26"/>
  </w:num>
  <w:num w:numId="15">
    <w:abstractNumId w:val="33"/>
  </w:num>
  <w:num w:numId="16">
    <w:abstractNumId w:val="23"/>
  </w:num>
  <w:num w:numId="17">
    <w:abstractNumId w:val="34"/>
  </w:num>
  <w:num w:numId="18">
    <w:abstractNumId w:val="6"/>
  </w:num>
  <w:num w:numId="19">
    <w:abstractNumId w:val="32"/>
  </w:num>
  <w:num w:numId="20">
    <w:abstractNumId w:val="17"/>
  </w:num>
  <w:num w:numId="21">
    <w:abstractNumId w:val="35"/>
  </w:num>
  <w:num w:numId="22">
    <w:abstractNumId w:val="2"/>
  </w:num>
  <w:num w:numId="23">
    <w:abstractNumId w:val="30"/>
  </w:num>
  <w:num w:numId="24">
    <w:abstractNumId w:val="15"/>
  </w:num>
  <w:num w:numId="25">
    <w:abstractNumId w:val="20"/>
  </w:num>
  <w:num w:numId="26">
    <w:abstractNumId w:val="18"/>
  </w:num>
  <w:num w:numId="27">
    <w:abstractNumId w:val="8"/>
  </w:num>
  <w:num w:numId="28">
    <w:abstractNumId w:val="29"/>
  </w:num>
  <w:num w:numId="29">
    <w:abstractNumId w:val="28"/>
  </w:num>
  <w:num w:numId="30">
    <w:abstractNumId w:val="1"/>
  </w:num>
  <w:num w:numId="31">
    <w:abstractNumId w:val="10"/>
  </w:num>
  <w:num w:numId="32">
    <w:abstractNumId w:val="31"/>
  </w:num>
  <w:num w:numId="33">
    <w:abstractNumId w:val="0"/>
  </w:num>
  <w:num w:numId="34">
    <w:abstractNumId w:val="21"/>
  </w:num>
  <w:num w:numId="35">
    <w:abstractNumId w:val="4"/>
  </w:num>
  <w:num w:numId="36">
    <w:abstractNumId w:val="22"/>
  </w:num>
  <w:num w:numId="37">
    <w:abstractNumId w:val="13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AC"/>
    <w:rsid w:val="00017AEA"/>
    <w:rsid w:val="000514CA"/>
    <w:rsid w:val="0005689C"/>
    <w:rsid w:val="000D3598"/>
    <w:rsid w:val="000F1405"/>
    <w:rsid w:val="000F6B2B"/>
    <w:rsid w:val="00135259"/>
    <w:rsid w:val="00171AC8"/>
    <w:rsid w:val="00193145"/>
    <w:rsid w:val="002165F1"/>
    <w:rsid w:val="00243745"/>
    <w:rsid w:val="00294FE2"/>
    <w:rsid w:val="002A017F"/>
    <w:rsid w:val="002D1F53"/>
    <w:rsid w:val="003620AC"/>
    <w:rsid w:val="003C4B48"/>
    <w:rsid w:val="003C4D7F"/>
    <w:rsid w:val="003D0532"/>
    <w:rsid w:val="003F30FC"/>
    <w:rsid w:val="003F6275"/>
    <w:rsid w:val="00416344"/>
    <w:rsid w:val="00440601"/>
    <w:rsid w:val="00455179"/>
    <w:rsid w:val="004838BF"/>
    <w:rsid w:val="0049528C"/>
    <w:rsid w:val="00495EB6"/>
    <w:rsid w:val="004F1E5B"/>
    <w:rsid w:val="00515E80"/>
    <w:rsid w:val="005650A3"/>
    <w:rsid w:val="00567187"/>
    <w:rsid w:val="0057272D"/>
    <w:rsid w:val="00577576"/>
    <w:rsid w:val="0059015B"/>
    <w:rsid w:val="0059386A"/>
    <w:rsid w:val="005D1148"/>
    <w:rsid w:val="005E5618"/>
    <w:rsid w:val="005E5929"/>
    <w:rsid w:val="005F0B70"/>
    <w:rsid w:val="00652E98"/>
    <w:rsid w:val="00653586"/>
    <w:rsid w:val="00656F82"/>
    <w:rsid w:val="006E688C"/>
    <w:rsid w:val="007046B1"/>
    <w:rsid w:val="007151AC"/>
    <w:rsid w:val="007566BC"/>
    <w:rsid w:val="0078171F"/>
    <w:rsid w:val="007E71FE"/>
    <w:rsid w:val="007F62D4"/>
    <w:rsid w:val="00881DB3"/>
    <w:rsid w:val="00895764"/>
    <w:rsid w:val="008B0340"/>
    <w:rsid w:val="008C278B"/>
    <w:rsid w:val="00973D0F"/>
    <w:rsid w:val="00990FC7"/>
    <w:rsid w:val="009D0FEF"/>
    <w:rsid w:val="009E7357"/>
    <w:rsid w:val="009F75D6"/>
    <w:rsid w:val="00A314B1"/>
    <w:rsid w:val="00A7511A"/>
    <w:rsid w:val="00A85CED"/>
    <w:rsid w:val="00AA4BED"/>
    <w:rsid w:val="00AC0143"/>
    <w:rsid w:val="00AC0DE9"/>
    <w:rsid w:val="00BB08CD"/>
    <w:rsid w:val="00BC3F1D"/>
    <w:rsid w:val="00BF5F0C"/>
    <w:rsid w:val="00C062FD"/>
    <w:rsid w:val="00C104F8"/>
    <w:rsid w:val="00C37DCE"/>
    <w:rsid w:val="00C77790"/>
    <w:rsid w:val="00CA74B5"/>
    <w:rsid w:val="00CB7F7E"/>
    <w:rsid w:val="00CC03B3"/>
    <w:rsid w:val="00D72560"/>
    <w:rsid w:val="00DC2B2B"/>
    <w:rsid w:val="00DD2BC5"/>
    <w:rsid w:val="00DD7366"/>
    <w:rsid w:val="00E846BB"/>
    <w:rsid w:val="00EB0691"/>
    <w:rsid w:val="00EB5461"/>
    <w:rsid w:val="00F722E0"/>
    <w:rsid w:val="00FE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MACCJ7WAEWV6-711768695-240</_dlc_DocId>
    <_dlc_DocIdUrl xmlns="4c155583-69f9-458b-843e-56574a4bdc09">
      <Url>https://www.umfiasi.ro/ro/academic/facultati/medicina-generala/_layouts/15/DocIdRedir.aspx?ID=MACCJ7WAEWV6-711768695-240</Url>
      <Description>MACCJ7WAEWV6-711768695-240</Description>
    </_dlc_DocIdUrl>
  </documentManagement>
</p:properties>
</file>

<file path=customXml/itemProps1.xml><?xml version="1.0" encoding="utf-8"?>
<ds:datastoreItem xmlns:ds="http://schemas.openxmlformats.org/officeDocument/2006/customXml" ds:itemID="{D22CAC64-D4C1-41A0-AF2A-2F0A9A9F6150}"/>
</file>

<file path=customXml/itemProps2.xml><?xml version="1.0" encoding="utf-8"?>
<ds:datastoreItem xmlns:ds="http://schemas.openxmlformats.org/officeDocument/2006/customXml" ds:itemID="{FF787A59-157B-4E2F-AB53-8D7ED1D1081E}"/>
</file>

<file path=customXml/itemProps3.xml><?xml version="1.0" encoding="utf-8"?>
<ds:datastoreItem xmlns:ds="http://schemas.openxmlformats.org/officeDocument/2006/customXml" ds:itemID="{5C8FD717-207C-4042-842A-B4514855D48A}"/>
</file>

<file path=customXml/itemProps4.xml><?xml version="1.0" encoding="utf-8"?>
<ds:datastoreItem xmlns:ds="http://schemas.openxmlformats.org/officeDocument/2006/customXml" ds:itemID="{46CDF976-70A8-4BA1-A591-E4BE4A663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5</cp:revision>
  <cp:lastPrinted>2019-10-07T05:46:00Z</cp:lastPrinted>
  <dcterms:created xsi:type="dcterms:W3CDTF">2019-10-07T10:27:00Z</dcterms:created>
  <dcterms:modified xsi:type="dcterms:W3CDTF">2019-11-21T09:12:00Z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1daacf7b-44c4-49af-a26f-4d9748830e02</vt:lpwstr>
  </property>
</Properties>
</file>