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3A3402" w:rsidRPr="00B57069">
              <w:rPr>
                <w:rFonts w:asciiTheme="majorHAnsi" w:hAnsiTheme="majorHAnsi"/>
                <w:b/>
                <w:noProof/>
              </w:rPr>
              <w:t>a. Devices for Functional Electrical Stimulation</w:t>
            </w:r>
            <w:r w:rsidRPr="00AB6940">
              <w:rPr>
                <w:rFonts w:asciiTheme="majorHAnsi" w:hAnsiTheme="majorHAnsi"/>
                <w:b/>
              </w:rPr>
              <w:fldChar w:fldCharType="end"/>
            </w:r>
          </w:p>
        </w:tc>
        <w:tc>
          <w:tcPr>
            <w:tcW w:w="1572" w:type="dxa"/>
            <w:shd w:val="clear" w:color="auto" w:fill="auto"/>
          </w:tcPr>
          <w:p w:rsidR="00BF064D" w:rsidRPr="00AB6940" w:rsidRDefault="00EB6CDB" w:rsidP="00E155DA">
            <w:pPr>
              <w:rPr>
                <w:rFonts w:asciiTheme="majorHAnsi" w:hAnsiTheme="majorHAnsi"/>
                <w:b/>
              </w:rPr>
            </w:pPr>
            <w:r>
              <w:rPr>
                <w:rFonts w:asciiTheme="majorHAnsi" w:hAnsiTheme="majorHAnsi"/>
                <w:b/>
              </w:rPr>
              <w:t>RE1322</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3A3402" w:rsidRPr="00B57069">
              <w:rPr>
                <w:rFonts w:asciiTheme="majorHAnsi" w:hAnsiTheme="majorHAnsi"/>
                <w:b/>
                <w:noProof/>
              </w:rPr>
              <w:t>-</w: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61773D" w:rsidP="0061773D">
            <w:pPr>
              <w:rPr>
                <w:rFonts w:asciiTheme="majorHAnsi" w:hAnsiTheme="majorHAnsi"/>
                <w:b/>
              </w:rPr>
            </w:pPr>
            <w:r w:rsidRPr="0061773D">
              <w:rPr>
                <w:rFonts w:asciiTheme="majorHAnsi" w:hAnsiTheme="majorHAnsi"/>
                <w:b/>
              </w:rPr>
              <w:t xml:space="preserve">Associate professor </w:t>
            </w:r>
            <w:r w:rsidR="007334F1" w:rsidRPr="007334F1">
              <w:rPr>
                <w:rFonts w:asciiTheme="majorHAnsi" w:hAnsiTheme="majorHAnsi"/>
                <w:b/>
              </w:rPr>
              <w:fldChar w:fldCharType="begin"/>
            </w:r>
            <w:r w:rsidR="007334F1" w:rsidRPr="007334F1">
              <w:rPr>
                <w:rFonts w:asciiTheme="majorHAnsi" w:hAnsiTheme="majorHAnsi"/>
                <w:b/>
              </w:rPr>
              <w:instrText xml:space="preserve"> MERGEFIELD "Titular_LP" </w:instrText>
            </w:r>
            <w:r w:rsidR="007334F1" w:rsidRPr="007334F1">
              <w:rPr>
                <w:rFonts w:asciiTheme="majorHAnsi" w:hAnsiTheme="majorHAnsi"/>
                <w:b/>
              </w:rPr>
              <w:fldChar w:fldCharType="separate"/>
            </w:r>
            <w:r w:rsidR="003A3402" w:rsidRPr="00B57069">
              <w:rPr>
                <w:rFonts w:asciiTheme="majorHAnsi" w:hAnsiTheme="majorHAnsi"/>
                <w:b/>
                <w:noProof/>
              </w:rPr>
              <w:t>Dan Zaharia</w:t>
            </w:r>
            <w:r w:rsidR="007334F1" w:rsidRPr="007334F1">
              <w:rPr>
                <w:rFonts w:asciiTheme="majorHAnsi" w:hAnsiTheme="majorHAnsi"/>
                <w:b/>
              </w:rPr>
              <w:fldChar w:fldCharType="end"/>
            </w:r>
            <w:r w:rsidR="0025354B">
              <w:rPr>
                <w:rFonts w:asciiTheme="majorHAnsi" w:hAnsiTheme="majorHAnsi"/>
                <w:b/>
              </w:rPr>
              <w:t>, MD,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3A3402"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B6CDB" w:rsidP="00BF064D">
            <w:pPr>
              <w:jc w:val="center"/>
              <w:rPr>
                <w:rFonts w:asciiTheme="majorHAnsi" w:hAnsiTheme="majorHAnsi"/>
                <w:b/>
              </w:rPr>
            </w:pPr>
            <w:r>
              <w:rPr>
                <w:rFonts w:asciiTheme="majorHAnsi" w:hAnsiTheme="majorHAnsi"/>
                <w:b/>
              </w:rPr>
              <w:t>1</w:t>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3A3402" w:rsidRPr="00B57069">
              <w:rPr>
                <w:rFonts w:asciiTheme="majorHAnsi" w:hAnsiTheme="majorHAnsi"/>
                <w:b/>
                <w:noProof/>
              </w:rPr>
              <w:t>Colloquium, C1</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3A3402" w:rsidRPr="00B57069">
              <w:rPr>
                <w:rFonts w:asciiTheme="majorHAnsi" w:hAnsiTheme="majorHAnsi" w:cs="TimesNewRoman"/>
                <w:b/>
                <w:noProof/>
                <w:lang w:bidi="ne-NP"/>
              </w:rPr>
              <w:t>Elective</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3A3402"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EB6CDB" w:rsidRPr="00386A2F" w:rsidTr="00DF1156">
        <w:tc>
          <w:tcPr>
            <w:tcW w:w="2093" w:type="dxa"/>
            <w:shd w:val="clear" w:color="auto" w:fill="F2F2F2" w:themeFill="background1" w:themeFillShade="F2"/>
          </w:tcPr>
          <w:p w:rsidR="00EB6CDB" w:rsidRPr="008607C1" w:rsidRDefault="00EB6CD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1</w:t>
            </w:r>
          </w:p>
        </w:tc>
        <w:tc>
          <w:tcPr>
            <w:tcW w:w="850" w:type="dxa"/>
            <w:shd w:val="clear" w:color="auto" w:fill="auto"/>
          </w:tcPr>
          <w:p w:rsidR="00EB6CDB" w:rsidRPr="00484F5D" w:rsidRDefault="00EB6CDB" w:rsidP="00932304">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1</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1</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1</w:t>
            </w:r>
            <w:r>
              <w:rPr>
                <w:rFonts w:asciiTheme="majorHAnsi" w:hAnsiTheme="majorHAnsi" w:cs="TimesNewRoman"/>
                <w:b/>
                <w:szCs w:val="20"/>
                <w:lang w:bidi="ne-NP"/>
              </w:rPr>
              <w:fldChar w:fldCharType="end"/>
            </w:r>
          </w:p>
        </w:tc>
        <w:tc>
          <w:tcPr>
            <w:tcW w:w="3261" w:type="dxa"/>
            <w:gridSpan w:val="2"/>
            <w:shd w:val="clear" w:color="auto" w:fill="auto"/>
          </w:tcPr>
          <w:p w:rsidR="00EB6CDB" w:rsidRPr="00484F5D" w:rsidRDefault="00EB6CDB" w:rsidP="00932304">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shd w:val="clear" w:color="auto" w:fill="auto"/>
          </w:tcPr>
          <w:p w:rsidR="00EB6CDB" w:rsidRPr="00484F5D" w:rsidRDefault="00EB6CDB" w:rsidP="00932304">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r>
      <w:tr w:rsidR="00EB6CDB" w:rsidRPr="00386A2F" w:rsidTr="00DF1156">
        <w:tc>
          <w:tcPr>
            <w:tcW w:w="2093" w:type="dxa"/>
            <w:tcBorders>
              <w:bottom w:val="single" w:sz="4" w:space="0" w:color="auto"/>
            </w:tcBorders>
            <w:shd w:val="clear" w:color="auto" w:fill="F2F2F2" w:themeFill="background1" w:themeFillShade="F2"/>
          </w:tcPr>
          <w:p w:rsidR="00EB6CDB" w:rsidRPr="008607C1" w:rsidRDefault="00EB6CD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2</w:t>
            </w:r>
          </w:p>
        </w:tc>
        <w:tc>
          <w:tcPr>
            <w:tcW w:w="850" w:type="dxa"/>
            <w:tcBorders>
              <w:bottom w:val="single" w:sz="4" w:space="0" w:color="auto"/>
            </w:tcBorders>
            <w:shd w:val="clear" w:color="auto" w:fill="auto"/>
          </w:tcPr>
          <w:p w:rsidR="00EB6CDB" w:rsidRPr="00484F5D" w:rsidRDefault="00EB6CDB" w:rsidP="00DF1156">
            <w:pPr>
              <w:autoSpaceDE w:val="0"/>
              <w:autoSpaceDN w:val="0"/>
              <w:adjustRightInd w:val="0"/>
              <w:jc w:val="center"/>
              <w:rPr>
                <w:rFonts w:asciiTheme="majorHAnsi" w:hAnsiTheme="majorHAnsi" w:cs="TimesNewRoman"/>
                <w:b/>
                <w:szCs w:val="20"/>
                <w:lang w:bidi="ne-NP"/>
              </w:rPr>
            </w:pPr>
          </w:p>
        </w:tc>
        <w:tc>
          <w:tcPr>
            <w:tcW w:w="3261" w:type="dxa"/>
            <w:gridSpan w:val="2"/>
            <w:tcBorders>
              <w:bottom w:val="single" w:sz="4" w:space="0" w:color="auto"/>
            </w:tcBorders>
            <w:shd w:val="clear" w:color="auto" w:fill="auto"/>
          </w:tcPr>
          <w:p w:rsidR="00EB6CDB" w:rsidRPr="00484F5D" w:rsidRDefault="00EB6CDB" w:rsidP="00DF1156">
            <w:pPr>
              <w:autoSpaceDE w:val="0"/>
              <w:autoSpaceDN w:val="0"/>
              <w:adjustRightInd w:val="0"/>
              <w:jc w:val="center"/>
              <w:rPr>
                <w:rFonts w:asciiTheme="majorHAnsi" w:hAnsiTheme="majorHAnsi" w:cs="TimesNewRoman,Bold"/>
                <w:b/>
                <w:szCs w:val="20"/>
                <w:lang w:bidi="ne-NP"/>
              </w:rPr>
            </w:pPr>
          </w:p>
        </w:tc>
        <w:tc>
          <w:tcPr>
            <w:tcW w:w="3827" w:type="dxa"/>
            <w:gridSpan w:val="4"/>
            <w:tcBorders>
              <w:bottom w:val="single" w:sz="4" w:space="0" w:color="auto"/>
            </w:tcBorders>
            <w:shd w:val="clear" w:color="auto" w:fill="auto"/>
          </w:tcPr>
          <w:p w:rsidR="00EB6CDB" w:rsidRPr="00484F5D" w:rsidRDefault="00EB6CDB" w:rsidP="00DF1156">
            <w:pPr>
              <w:autoSpaceDE w:val="0"/>
              <w:autoSpaceDN w:val="0"/>
              <w:adjustRightInd w:val="0"/>
              <w:jc w:val="center"/>
              <w:rPr>
                <w:rFonts w:asciiTheme="majorHAnsi" w:hAnsiTheme="majorHAnsi" w:cs="TimesNewRoman,Bold"/>
                <w:b/>
                <w:szCs w:val="20"/>
                <w:lang w:bidi="ne-NP"/>
              </w:rPr>
            </w:pPr>
          </w:p>
        </w:tc>
      </w:tr>
      <w:tr w:rsidR="00EB6CDB" w:rsidRPr="00386A2F" w:rsidTr="00DF1156">
        <w:tc>
          <w:tcPr>
            <w:tcW w:w="2093" w:type="dxa"/>
            <w:tcBorders>
              <w:bottom w:val="single" w:sz="4" w:space="0" w:color="auto"/>
            </w:tcBorders>
            <w:shd w:val="clear" w:color="auto" w:fill="F2F2F2" w:themeFill="background1" w:themeFillShade="F2"/>
          </w:tcPr>
          <w:p w:rsidR="00EB6CDB" w:rsidRPr="008607C1" w:rsidRDefault="00EB6CDB"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EB6CDB" w:rsidRPr="008607C1" w:rsidRDefault="00EB6CDB"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c>
          <w:tcPr>
            <w:tcW w:w="2410" w:type="dxa"/>
            <w:tcBorders>
              <w:bottom w:val="single" w:sz="4" w:space="0" w:color="auto"/>
            </w:tcBorders>
            <w:shd w:val="clear" w:color="auto" w:fill="F2F2F2" w:themeFill="background1" w:themeFillShade="F2"/>
          </w:tcPr>
          <w:p w:rsidR="00EB6CDB" w:rsidRPr="008607C1" w:rsidRDefault="00EB6CDB"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EB6CDB" w:rsidRPr="008607C1" w:rsidRDefault="00EB6CDB"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EB6CDB" w:rsidRPr="008607C1" w:rsidRDefault="00EB6CDB"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EB6CDB" w:rsidRPr="008607C1" w:rsidRDefault="00EB6CDB"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r>
      <w:tr w:rsidR="00EB6CDB" w:rsidRPr="00386A2F" w:rsidTr="00384A9B">
        <w:tc>
          <w:tcPr>
            <w:tcW w:w="7054" w:type="dxa"/>
            <w:gridSpan w:val="5"/>
            <w:tcBorders>
              <w:bottom w:val="single" w:sz="4" w:space="0" w:color="auto"/>
            </w:tcBorders>
            <w:shd w:val="clear" w:color="auto" w:fill="F2F2F2" w:themeFill="background1" w:themeFillShade="F2"/>
          </w:tcPr>
          <w:p w:rsidR="00EB6CDB" w:rsidRPr="008607C1" w:rsidRDefault="00EB6CDB"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Pr="003801A4">
              <w:rPr>
                <w:rFonts w:asciiTheme="majorHAnsi" w:hAnsiTheme="majorHAnsi" w:cs="TimesNewRoman"/>
                <w:szCs w:val="20"/>
                <w:lang w:bidi="ne-NP"/>
              </w:rPr>
              <w:t xml:space="preserve">Distribution of </w:t>
            </w:r>
            <w:r>
              <w:rPr>
                <w:rFonts w:asciiTheme="majorHAnsi" w:hAnsiTheme="majorHAnsi" w:cs="TimesNewRoman"/>
                <w:szCs w:val="20"/>
                <w:lang w:bidi="ne-NP"/>
              </w:rPr>
              <w:t xml:space="preserve">individual study </w:t>
            </w:r>
            <w:r w:rsidRPr="003801A4">
              <w:rPr>
                <w:rFonts w:asciiTheme="majorHAnsi" w:hAnsiTheme="majorHAnsi" w:cs="TimesNewRoman"/>
                <w:szCs w:val="20"/>
                <w:lang w:bidi="ne-NP"/>
              </w:rPr>
              <w:t>time</w:t>
            </w:r>
            <w:r w:rsidRPr="008607C1">
              <w:rPr>
                <w:rFonts w:asciiTheme="majorHAnsi" w:hAnsiTheme="majorHAnsi" w:cs="TimesNewRoman"/>
                <w:szCs w:val="20"/>
                <w:lang w:bidi="ne-NP"/>
              </w:rPr>
              <w:t>:</w:t>
            </w:r>
          </w:p>
        </w:tc>
        <w:tc>
          <w:tcPr>
            <w:tcW w:w="1559" w:type="dxa"/>
            <w:shd w:val="clear" w:color="auto" w:fill="F2F2F2" w:themeFill="background1" w:themeFillShade="F2"/>
          </w:tcPr>
          <w:p w:rsidR="00EB6CDB" w:rsidRPr="008607C1" w:rsidRDefault="00EB6CDB"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1</w:t>
            </w:r>
          </w:p>
        </w:tc>
        <w:tc>
          <w:tcPr>
            <w:tcW w:w="1418" w:type="dxa"/>
            <w:gridSpan w:val="2"/>
            <w:shd w:val="clear" w:color="auto" w:fill="F2F2F2" w:themeFill="background1" w:themeFillShade="F2"/>
          </w:tcPr>
          <w:p w:rsidR="00EB6CDB" w:rsidRPr="008607C1" w:rsidRDefault="00EB6CDB"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2</w:t>
            </w:r>
          </w:p>
        </w:tc>
      </w:tr>
      <w:tr w:rsidR="00EB6CDB" w:rsidRPr="00386A2F" w:rsidTr="00384A9B">
        <w:tc>
          <w:tcPr>
            <w:tcW w:w="7054" w:type="dxa"/>
            <w:gridSpan w:val="5"/>
            <w:shd w:val="clear" w:color="auto" w:fill="F2F2F2" w:themeFill="background1" w:themeFillShade="F2"/>
          </w:tcPr>
          <w:p w:rsidR="00EB6CDB" w:rsidRPr="008607C1" w:rsidRDefault="00EB6CDB"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15</w:t>
            </w:r>
          </w:p>
        </w:tc>
        <w:tc>
          <w:tcPr>
            <w:tcW w:w="1418" w:type="dxa"/>
            <w:gridSpan w:val="2"/>
            <w:shd w:val="clear" w:color="auto" w:fill="auto"/>
          </w:tcPr>
          <w:p w:rsidR="00EB6CDB" w:rsidRPr="008607C1" w:rsidRDefault="00EB6CDB" w:rsidP="00BF064D">
            <w:pPr>
              <w:autoSpaceDE w:val="0"/>
              <w:autoSpaceDN w:val="0"/>
              <w:adjustRightInd w:val="0"/>
              <w:jc w:val="center"/>
              <w:rPr>
                <w:rFonts w:asciiTheme="majorHAnsi" w:hAnsiTheme="majorHAnsi" w:cs="TimesNewRoman,Bold"/>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15</w:t>
            </w:r>
          </w:p>
        </w:tc>
        <w:tc>
          <w:tcPr>
            <w:tcW w:w="1418" w:type="dxa"/>
            <w:gridSpan w:val="2"/>
            <w:shd w:val="clear" w:color="auto" w:fill="auto"/>
          </w:tcPr>
          <w:p w:rsidR="00EB6CDB" w:rsidRPr="008607C1" w:rsidRDefault="00EB6CDB" w:rsidP="00BF064D">
            <w:pPr>
              <w:autoSpaceDE w:val="0"/>
              <w:autoSpaceDN w:val="0"/>
              <w:adjustRightInd w:val="0"/>
              <w:jc w:val="center"/>
              <w:rPr>
                <w:rFonts w:asciiTheme="majorHAnsi" w:hAnsiTheme="majorHAnsi" w:cs="TimesNewRoman,Bold"/>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shd w:val="clear" w:color="auto" w:fill="auto"/>
          </w:tcPr>
          <w:p w:rsidR="00EB6CDB" w:rsidRPr="008607C1" w:rsidRDefault="00EB6CDB" w:rsidP="00BF064D">
            <w:pPr>
              <w:autoSpaceDE w:val="0"/>
              <w:autoSpaceDN w:val="0"/>
              <w:adjustRightInd w:val="0"/>
              <w:jc w:val="center"/>
              <w:rPr>
                <w:rFonts w:asciiTheme="majorHAnsi" w:hAnsiTheme="majorHAnsi" w:cs="TimesNewRoman,Bold"/>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EB6CDB" w:rsidRPr="008607C1" w:rsidRDefault="00EB6CDB" w:rsidP="00BF064D">
            <w:pPr>
              <w:autoSpaceDE w:val="0"/>
              <w:autoSpaceDN w:val="0"/>
              <w:adjustRightInd w:val="0"/>
              <w:jc w:val="center"/>
              <w:rPr>
                <w:rFonts w:asciiTheme="majorHAnsi" w:hAnsiTheme="majorHAnsi" w:cs="TimesNewRoman,Bold"/>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EB6CDB" w:rsidRPr="008607C1" w:rsidRDefault="00EB6CDB" w:rsidP="00BF064D">
            <w:pPr>
              <w:autoSpaceDE w:val="0"/>
              <w:autoSpaceDN w:val="0"/>
              <w:adjustRightInd w:val="0"/>
              <w:jc w:val="center"/>
              <w:rPr>
                <w:rFonts w:asciiTheme="majorHAnsi" w:hAnsiTheme="majorHAnsi" w:cs="TimesNewRoman,Bold"/>
                <w:szCs w:val="20"/>
                <w:lang w:bidi="ne-NP"/>
              </w:rPr>
            </w:pPr>
          </w:p>
        </w:tc>
      </w:tr>
      <w:tr w:rsidR="00EB6CDB" w:rsidRPr="00386A2F" w:rsidTr="00384A9B">
        <w:tc>
          <w:tcPr>
            <w:tcW w:w="7054" w:type="dxa"/>
            <w:gridSpan w:val="5"/>
            <w:tcBorders>
              <w:bottom w:val="single" w:sz="4" w:space="0" w:color="auto"/>
            </w:tcBorders>
            <w:shd w:val="clear" w:color="auto" w:fill="F2F2F2" w:themeFill="background1" w:themeFillShade="F2"/>
          </w:tcPr>
          <w:p w:rsidR="00EB6CDB" w:rsidRPr="008607C1" w:rsidRDefault="00EB6CDB"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EB6CDB" w:rsidRPr="008607C1" w:rsidRDefault="00EB6CDB" w:rsidP="00932304">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EB6CDB" w:rsidRPr="008607C1" w:rsidRDefault="00EB6CDB" w:rsidP="00BF064D">
            <w:pPr>
              <w:autoSpaceDE w:val="0"/>
              <w:autoSpaceDN w:val="0"/>
              <w:adjustRightInd w:val="0"/>
              <w:jc w:val="center"/>
              <w:rPr>
                <w:rFonts w:asciiTheme="majorHAnsi" w:hAnsiTheme="majorHAnsi" w:cs="TimesNewRoman,Bold"/>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36</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36</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c>
          <w:tcPr>
            <w:tcW w:w="1418" w:type="dxa"/>
            <w:gridSpan w:val="2"/>
            <w:shd w:val="clear" w:color="auto" w:fill="auto"/>
          </w:tcPr>
          <w:p w:rsidR="00EB6CDB" w:rsidRPr="008607C1" w:rsidRDefault="00EB6CDB" w:rsidP="00427C81">
            <w:pPr>
              <w:autoSpaceDE w:val="0"/>
              <w:autoSpaceDN w:val="0"/>
              <w:adjustRightInd w:val="0"/>
              <w:jc w:val="center"/>
              <w:rPr>
                <w:rFonts w:asciiTheme="majorHAnsi" w:hAnsiTheme="majorHAnsi" w:cs="TimesNewRoman"/>
                <w:b/>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EB6CDB" w:rsidRPr="008607C1" w:rsidRDefault="00EB6CDB" w:rsidP="008174A3">
            <w:pPr>
              <w:autoSpaceDE w:val="0"/>
              <w:autoSpaceDN w:val="0"/>
              <w:adjustRightInd w:val="0"/>
              <w:jc w:val="center"/>
              <w:rPr>
                <w:rFonts w:asciiTheme="majorHAnsi" w:hAnsiTheme="majorHAnsi" w:cs="TimesNewRoman"/>
                <w:b/>
                <w:szCs w:val="20"/>
                <w:lang w:bidi="ne-NP"/>
              </w:rPr>
            </w:pPr>
          </w:p>
        </w:tc>
      </w:tr>
      <w:tr w:rsidR="00EB6CDB" w:rsidRPr="00386A2F" w:rsidTr="00384A9B">
        <w:tc>
          <w:tcPr>
            <w:tcW w:w="7054" w:type="dxa"/>
            <w:gridSpan w:val="5"/>
            <w:shd w:val="clear" w:color="auto" w:fill="F2F2F2" w:themeFill="background1" w:themeFillShade="F2"/>
          </w:tcPr>
          <w:p w:rsidR="00EB6CDB" w:rsidRPr="008607C1" w:rsidRDefault="00EB6CDB"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rsidR="00EB6CDB" w:rsidRPr="008607C1" w:rsidRDefault="00EB6CDB" w:rsidP="00932304">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c>
          <w:tcPr>
            <w:tcW w:w="1418" w:type="dxa"/>
            <w:gridSpan w:val="2"/>
            <w:shd w:val="clear" w:color="auto" w:fill="auto"/>
          </w:tcPr>
          <w:p w:rsidR="00EB6CDB" w:rsidRPr="008607C1" w:rsidRDefault="00EB6CDB" w:rsidP="007D2808">
            <w:pPr>
              <w:autoSpaceDE w:val="0"/>
              <w:autoSpaceDN w:val="0"/>
              <w:adjustRightInd w:val="0"/>
              <w:jc w:val="center"/>
              <w:rPr>
                <w:rFonts w:asciiTheme="majorHAnsi" w:hAnsiTheme="majorHAnsi" w:cs="TimesNewRoman,Bold"/>
                <w:b/>
                <w:szCs w:val="20"/>
                <w:lang w:bidi="ne-NP"/>
              </w:rPr>
            </w:pP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25354B" w:rsidRPr="008C0CCD" w:rsidTr="0025354B">
        <w:tc>
          <w:tcPr>
            <w:tcW w:w="2235" w:type="dxa"/>
            <w:shd w:val="clear" w:color="auto" w:fill="F2F2F2" w:themeFill="background1" w:themeFillShade="F2"/>
            <w:vAlign w:val="center"/>
          </w:tcPr>
          <w:p w:rsidR="0025354B" w:rsidRPr="008C0CCD" w:rsidRDefault="0025354B"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curriculum</w:t>
            </w:r>
          </w:p>
        </w:tc>
        <w:tc>
          <w:tcPr>
            <w:tcW w:w="7809" w:type="dxa"/>
          </w:tcPr>
          <w:p w:rsidR="0025354B" w:rsidRPr="000B39C2" w:rsidRDefault="0025354B" w:rsidP="00B0387E">
            <w:pPr>
              <w:jc w:val="both"/>
            </w:pPr>
            <w:r w:rsidRPr="000B39C2">
              <w:t>Anatomy, Physiology, Biophysics, Exploration and evaluation methods in medical rehabilitation, Biomedical instrumentation for rehabilitation</w:t>
            </w:r>
          </w:p>
        </w:tc>
      </w:tr>
      <w:tr w:rsidR="0025354B" w:rsidRPr="008C0CCD" w:rsidTr="0025354B">
        <w:tc>
          <w:tcPr>
            <w:tcW w:w="2235" w:type="dxa"/>
            <w:shd w:val="clear" w:color="auto" w:fill="F2F2F2" w:themeFill="background1" w:themeFillShade="F2"/>
            <w:vAlign w:val="center"/>
          </w:tcPr>
          <w:p w:rsidR="0025354B" w:rsidRPr="008C0CCD" w:rsidRDefault="0025354B"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competences</w:t>
            </w:r>
          </w:p>
        </w:tc>
        <w:tc>
          <w:tcPr>
            <w:tcW w:w="7809" w:type="dxa"/>
          </w:tcPr>
          <w:p w:rsidR="0025354B" w:rsidRPr="000B39C2" w:rsidRDefault="0025354B" w:rsidP="00B0387E">
            <w:pPr>
              <w:pStyle w:val="HTMLPreformatted"/>
              <w:shd w:val="clear" w:color="auto" w:fill="FFFFFF"/>
              <w:spacing w:line="300" w:lineRule="exact"/>
              <w:jc w:val="both"/>
              <w:rPr>
                <w:rFonts w:ascii="Trebuchet MS" w:hAnsi="Trebuchet MS"/>
                <w:color w:val="212121"/>
                <w:lang w:val="ro-RO"/>
              </w:rPr>
            </w:pPr>
            <w:r w:rsidRPr="000B39C2">
              <w:rPr>
                <w:rFonts w:ascii="Trebuchet MS" w:hAnsi="Trebuchet MS"/>
                <w:lang w:val="ro-RO" w:bidi="ne-NP"/>
              </w:rPr>
              <w:t>Knowledge of the concepts, theories and fundamental concepts of physiological</w:t>
            </w:r>
            <w:r w:rsidRPr="000B39C2">
              <w:rPr>
                <w:rFonts w:ascii="Trebuchet MS" w:hAnsi="Trebuchet MS"/>
                <w:color w:val="212121"/>
                <w:lang w:val="ro-RO"/>
              </w:rPr>
              <w:t xml:space="preserve"> phenomena</w:t>
            </w:r>
            <w:r w:rsidRPr="000B39C2">
              <w:rPr>
                <w:rFonts w:ascii="Trebuchet MS" w:hAnsi="Trebuchet MS"/>
                <w:lang w:val="ro-RO" w:bidi="ne-NP"/>
              </w:rPr>
              <w:t xml:space="preserve"> of the body. The ability to use biomedical instrumentation for rehabilitation</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25354B" w:rsidRPr="008C0CCD" w:rsidTr="0025354B">
        <w:tc>
          <w:tcPr>
            <w:tcW w:w="2235" w:type="dxa"/>
            <w:shd w:val="clear" w:color="auto" w:fill="F2F2F2" w:themeFill="background1" w:themeFillShade="F2"/>
            <w:vAlign w:val="center"/>
          </w:tcPr>
          <w:p w:rsidR="0025354B" w:rsidRPr="008C0CCD" w:rsidRDefault="0025354B"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rsidR="0025354B" w:rsidRPr="000B39C2" w:rsidRDefault="0025354B" w:rsidP="00B0387E">
            <w:r w:rsidRPr="000B39C2">
              <w:rPr>
                <w:bCs/>
                <w:szCs w:val="20"/>
                <w:lang w:bidi="ne-NP"/>
              </w:rPr>
              <w:t>Logistic support video</w:t>
            </w:r>
          </w:p>
        </w:tc>
      </w:tr>
      <w:tr w:rsidR="0025354B" w:rsidRPr="008C0CCD" w:rsidTr="0025354B">
        <w:tc>
          <w:tcPr>
            <w:tcW w:w="2235" w:type="dxa"/>
            <w:shd w:val="clear" w:color="auto" w:fill="F2F2F2" w:themeFill="background1" w:themeFillShade="F2"/>
            <w:vAlign w:val="center"/>
          </w:tcPr>
          <w:p w:rsidR="0025354B" w:rsidRPr="008C0CCD" w:rsidRDefault="0025354B"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rsidR="0025354B" w:rsidRPr="000B39C2" w:rsidRDefault="0025354B" w:rsidP="00B0387E">
            <w:r w:rsidRPr="000B39C2">
              <w:rPr>
                <w:bCs/>
                <w:szCs w:val="20"/>
                <w:lang w:bidi="ne-NP"/>
              </w:rPr>
              <w:t>Students will wear protective clothing (lab coat)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61773D" w:rsidRPr="0025354B" w:rsidTr="006B7D20">
        <w:trPr>
          <w:cantSplit/>
          <w:trHeight w:val="880"/>
        </w:trPr>
        <w:tc>
          <w:tcPr>
            <w:tcW w:w="675" w:type="dxa"/>
            <w:vMerge w:val="restart"/>
            <w:shd w:val="clear" w:color="auto" w:fill="F3F3F3"/>
            <w:textDirection w:val="btLr"/>
            <w:vAlign w:val="center"/>
          </w:tcPr>
          <w:p w:rsidR="0061773D" w:rsidRPr="0025354B" w:rsidRDefault="0061773D"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25354B">
              <w:rPr>
                <w:rFonts w:asciiTheme="majorHAnsi" w:hAnsiTheme="majorHAnsi" w:cs="TimesNewRoman,Bold"/>
                <w:b/>
                <w:bCs/>
                <w:szCs w:val="20"/>
                <w:lang w:bidi="ne-NP"/>
              </w:rPr>
              <w:t>Professional competencies</w:t>
            </w:r>
          </w:p>
        </w:tc>
        <w:tc>
          <w:tcPr>
            <w:tcW w:w="461" w:type="dxa"/>
            <w:shd w:val="clear" w:color="auto" w:fill="F3F3F3"/>
            <w:textDirection w:val="btLr"/>
          </w:tcPr>
          <w:p w:rsidR="0061773D" w:rsidRPr="0025354B" w:rsidRDefault="009F0F04" w:rsidP="00A808E1">
            <w:pPr>
              <w:pStyle w:val="Default"/>
              <w:ind w:left="113" w:right="113"/>
              <w:rPr>
                <w:rFonts w:asciiTheme="majorHAnsi" w:hAnsiTheme="majorHAnsi" w:cs="TimesNewRoman,Bold"/>
                <w:b/>
                <w:bCs/>
                <w:sz w:val="20"/>
                <w:szCs w:val="20"/>
                <w:lang w:val="ro-RO" w:bidi="ne-NP"/>
              </w:rPr>
            </w:pPr>
            <w:r>
              <w:rPr>
                <w:rFonts w:asciiTheme="majorHAnsi" w:hAnsiTheme="majorHAnsi"/>
                <w:sz w:val="20"/>
                <w:szCs w:val="20"/>
              </w:rPr>
              <w:t xml:space="preserve">C </w:t>
            </w:r>
            <w:r w:rsidR="0025354B" w:rsidRPr="0025354B">
              <w:rPr>
                <w:rFonts w:asciiTheme="majorHAnsi" w:hAnsiTheme="majorHAnsi"/>
                <w:sz w:val="20"/>
                <w:szCs w:val="20"/>
              </w:rPr>
              <w:t>.4</w:t>
            </w:r>
            <w:r>
              <w:rPr>
                <w:rFonts w:asciiTheme="majorHAnsi" w:hAnsiTheme="majorHAnsi"/>
                <w:sz w:val="20"/>
                <w:szCs w:val="20"/>
              </w:rPr>
              <w:t>.1</w:t>
            </w:r>
            <w:r w:rsidR="0061773D" w:rsidRPr="0025354B">
              <w:rPr>
                <w:rFonts w:asciiTheme="majorHAnsi" w:hAnsiTheme="majorHAnsi" w:cs="TimesNewRoman,Bold"/>
                <w:b/>
                <w:bCs/>
                <w:sz w:val="20"/>
                <w:szCs w:val="20"/>
                <w:lang w:val="ro-RO" w:bidi="ne-NP"/>
              </w:rPr>
              <w:fldChar w:fldCharType="begin"/>
            </w:r>
            <w:r w:rsidR="0061773D" w:rsidRPr="0025354B">
              <w:rPr>
                <w:rFonts w:asciiTheme="majorHAnsi" w:hAnsiTheme="majorHAnsi" w:cs="TimesNewRoman,Bold"/>
                <w:b/>
                <w:bCs/>
                <w:sz w:val="20"/>
                <w:szCs w:val="20"/>
                <w:lang w:val="ro-RO" w:bidi="ne-NP"/>
              </w:rPr>
              <w:instrText xml:space="preserve"> MERGEFIELD C_P_1 \*charformat </w:instrText>
            </w:r>
            <w:r w:rsidR="0061773D" w:rsidRPr="0025354B">
              <w:rPr>
                <w:rFonts w:asciiTheme="majorHAnsi" w:hAnsiTheme="majorHAnsi" w:cs="TimesNewRoman,Bold"/>
                <w:b/>
                <w:bCs/>
                <w:sz w:val="20"/>
                <w:szCs w:val="20"/>
                <w:lang w:val="ro-RO" w:bidi="ne-NP"/>
              </w:rPr>
              <w:fldChar w:fldCharType="end"/>
            </w:r>
          </w:p>
        </w:tc>
        <w:tc>
          <w:tcPr>
            <w:tcW w:w="8908" w:type="dxa"/>
            <w:shd w:val="clear" w:color="auto" w:fill="auto"/>
          </w:tcPr>
          <w:p w:rsidR="0061773D" w:rsidRPr="0025354B" w:rsidRDefault="0061773D" w:rsidP="005B214A">
            <w:pPr>
              <w:autoSpaceDE w:val="0"/>
              <w:autoSpaceDN w:val="0"/>
              <w:adjustRightInd w:val="0"/>
              <w:jc w:val="both"/>
              <w:rPr>
                <w:rFonts w:asciiTheme="majorHAnsi" w:hAnsiTheme="majorHAnsi"/>
                <w:szCs w:val="20"/>
              </w:rPr>
            </w:pPr>
            <w:r w:rsidRPr="0025354B">
              <w:rPr>
                <w:rFonts w:asciiTheme="majorHAnsi" w:hAnsiTheme="majorHAnsi"/>
                <w:color w:val="000000"/>
                <w:szCs w:val="20"/>
              </w:rPr>
              <w:t xml:space="preserve">Description of concepts, theories and basic notions for </w:t>
            </w:r>
            <w:r w:rsidRPr="0025354B">
              <w:rPr>
                <w:rFonts w:asciiTheme="majorHAnsi" w:hAnsiTheme="majorHAnsi"/>
                <w:szCs w:val="20"/>
              </w:rPr>
              <w:t>functional electric stimulation techniques, functional devices, appreciation of the quality of life of patients with this devices</w:t>
            </w:r>
          </w:p>
        </w:tc>
      </w:tr>
      <w:tr w:rsidR="0061773D" w:rsidRPr="0025354B" w:rsidTr="006B7D20">
        <w:trPr>
          <w:cantSplit/>
          <w:trHeight w:val="834"/>
        </w:trPr>
        <w:tc>
          <w:tcPr>
            <w:tcW w:w="675" w:type="dxa"/>
            <w:vMerge/>
            <w:shd w:val="clear" w:color="auto" w:fill="F3F3F3"/>
            <w:textDirection w:val="btLr"/>
            <w:vAlign w:val="center"/>
          </w:tcPr>
          <w:p w:rsidR="0061773D" w:rsidRPr="0025354B" w:rsidRDefault="0061773D"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61773D" w:rsidRPr="0025354B" w:rsidRDefault="0025354B" w:rsidP="00A808E1">
            <w:pPr>
              <w:pStyle w:val="Default"/>
              <w:ind w:left="113" w:right="113"/>
              <w:rPr>
                <w:rFonts w:asciiTheme="majorHAnsi" w:hAnsiTheme="majorHAnsi" w:cs="TimesNewRoman,Bold"/>
                <w:b/>
                <w:bCs/>
                <w:sz w:val="20"/>
                <w:szCs w:val="20"/>
                <w:lang w:val="ro-RO" w:bidi="ne-NP"/>
              </w:rPr>
            </w:pPr>
            <w:r w:rsidRPr="0025354B">
              <w:rPr>
                <w:rFonts w:asciiTheme="majorHAnsi" w:hAnsiTheme="majorHAnsi"/>
                <w:sz w:val="20"/>
                <w:szCs w:val="20"/>
              </w:rPr>
              <w:t>C 4.3</w:t>
            </w:r>
            <w:r w:rsidR="0061773D" w:rsidRPr="0025354B">
              <w:rPr>
                <w:rFonts w:asciiTheme="majorHAnsi" w:hAnsiTheme="majorHAnsi"/>
                <w:sz w:val="20"/>
                <w:szCs w:val="20"/>
              </w:rPr>
              <w:t xml:space="preserve"> </w:t>
            </w:r>
            <w:r w:rsidR="0061773D" w:rsidRPr="0025354B">
              <w:rPr>
                <w:rFonts w:asciiTheme="majorHAnsi" w:hAnsiTheme="majorHAnsi" w:cs="TimesNewRoman,Bold"/>
                <w:b/>
                <w:bCs/>
                <w:sz w:val="20"/>
                <w:szCs w:val="20"/>
                <w:lang w:val="ro-RO" w:bidi="ne-NP"/>
              </w:rPr>
              <w:fldChar w:fldCharType="begin"/>
            </w:r>
            <w:r w:rsidR="0061773D" w:rsidRPr="0025354B">
              <w:rPr>
                <w:rFonts w:asciiTheme="majorHAnsi" w:hAnsiTheme="majorHAnsi" w:cs="TimesNewRoman,Bold"/>
                <w:b/>
                <w:bCs/>
                <w:sz w:val="20"/>
                <w:szCs w:val="20"/>
                <w:lang w:val="ro-RO" w:bidi="ne-NP"/>
              </w:rPr>
              <w:instrText xml:space="preserve"> MERGEFIELD C_P_2 \*charformat</w:instrText>
            </w:r>
            <w:r w:rsidR="0061773D" w:rsidRPr="0025354B">
              <w:rPr>
                <w:rFonts w:asciiTheme="majorHAnsi" w:hAnsiTheme="majorHAnsi" w:cs="TimesNewRoman,Bold"/>
                <w:b/>
                <w:bCs/>
                <w:sz w:val="20"/>
                <w:szCs w:val="20"/>
                <w:lang w:val="ro-RO" w:bidi="ne-NP"/>
              </w:rPr>
              <w:fldChar w:fldCharType="end"/>
            </w:r>
          </w:p>
        </w:tc>
        <w:tc>
          <w:tcPr>
            <w:tcW w:w="8908" w:type="dxa"/>
            <w:shd w:val="clear" w:color="auto" w:fill="auto"/>
          </w:tcPr>
          <w:p w:rsidR="0061773D" w:rsidRPr="0025354B" w:rsidRDefault="0061773D" w:rsidP="005B214A">
            <w:pPr>
              <w:autoSpaceDE w:val="0"/>
              <w:autoSpaceDN w:val="0"/>
              <w:adjustRightInd w:val="0"/>
              <w:jc w:val="both"/>
              <w:rPr>
                <w:rFonts w:asciiTheme="majorHAnsi" w:hAnsiTheme="majorHAnsi"/>
                <w:color w:val="000000"/>
                <w:szCs w:val="20"/>
              </w:rPr>
            </w:pPr>
            <w:r w:rsidRPr="0025354B">
              <w:rPr>
                <w:rFonts w:asciiTheme="majorHAnsi" w:hAnsiTheme="majorHAnsi"/>
                <w:szCs w:val="20"/>
              </w:rPr>
              <w:t>Using the knowledge base for choosing methods of functional electric stimulation assessment in different pathological situations</w:t>
            </w:r>
          </w:p>
        </w:tc>
      </w:tr>
    </w:tbl>
    <w:p w:rsidR="00D34F35" w:rsidRDefault="00D34F35"/>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25354B" w:rsidRPr="008C0CCD" w:rsidTr="0025354B">
        <w:tc>
          <w:tcPr>
            <w:tcW w:w="2358" w:type="dxa"/>
            <w:shd w:val="clear" w:color="auto" w:fill="F2F2F2" w:themeFill="background1" w:themeFillShade="F2"/>
            <w:vAlign w:val="center"/>
          </w:tcPr>
          <w:p w:rsidR="0025354B" w:rsidRPr="008C0CCD" w:rsidRDefault="0025354B"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tcPr>
          <w:p w:rsidR="0025354B" w:rsidRPr="000B39C2" w:rsidRDefault="0025354B" w:rsidP="00B0387E">
            <w:pPr>
              <w:widowControl w:val="0"/>
              <w:autoSpaceDE w:val="0"/>
              <w:snapToGrid w:val="0"/>
              <w:ind w:right="62"/>
              <w:jc w:val="both"/>
            </w:pPr>
            <w:r w:rsidRPr="000B39C2">
              <w:t>Those providing basic knowledge and skills with which the student can use in functional electrical stimulation for recovery in the best conditions and maximum performance.</w:t>
            </w:r>
          </w:p>
        </w:tc>
      </w:tr>
      <w:tr w:rsidR="0025354B" w:rsidRPr="008C0CCD" w:rsidTr="0025354B">
        <w:tc>
          <w:tcPr>
            <w:tcW w:w="2358" w:type="dxa"/>
            <w:shd w:val="clear" w:color="auto" w:fill="F2F2F2" w:themeFill="background1" w:themeFillShade="F2"/>
            <w:vAlign w:val="center"/>
          </w:tcPr>
          <w:p w:rsidR="0025354B" w:rsidRPr="008C0CCD" w:rsidRDefault="0025354B"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tcPr>
          <w:p w:rsidR="0025354B" w:rsidRPr="000B39C2" w:rsidRDefault="0025354B" w:rsidP="00B0387E">
            <w:pPr>
              <w:jc w:val="both"/>
            </w:pPr>
            <w:r w:rsidRPr="000B39C2">
              <w:t>Facilitate collaboration between specialist in physical therapy and functional electric stimulation specialists to achieve results consistent with clinical observation for monitoring rehabilitation.</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rsidTr="0061773D">
        <w:tc>
          <w:tcPr>
            <w:tcW w:w="671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3A3402" w:rsidRPr="00B57069">
              <w:rPr>
                <w:rFonts w:asciiTheme="majorHAnsi" w:hAnsiTheme="majorHAnsi" w:cs="TimesNewRoman,Bold"/>
                <w:b/>
                <w:bCs/>
                <w:noProof/>
                <w:szCs w:val="20"/>
                <w:lang w:bidi="ne-NP"/>
              </w:rPr>
              <w:t>seminar</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61773D" w:rsidRPr="00730232" w:rsidTr="0061773D">
        <w:tc>
          <w:tcPr>
            <w:tcW w:w="451" w:type="dxa"/>
            <w:shd w:val="clear" w:color="auto" w:fill="auto"/>
            <w:vAlign w:val="center"/>
          </w:tcPr>
          <w:p w:rsidR="0061773D" w:rsidRPr="00730232" w:rsidRDefault="0061773D"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rsidR="0061773D" w:rsidRPr="007138DF" w:rsidRDefault="0061773D" w:rsidP="007138DF">
            <w:pPr>
              <w:pStyle w:val="Default"/>
              <w:jc w:val="both"/>
              <w:rPr>
                <w:rFonts w:asciiTheme="majorHAnsi" w:hAnsiTheme="majorHAnsi"/>
                <w:bCs/>
                <w:sz w:val="20"/>
                <w:szCs w:val="20"/>
              </w:rPr>
            </w:pPr>
            <w:r w:rsidRPr="007138DF">
              <w:rPr>
                <w:rFonts w:asciiTheme="majorHAnsi" w:hAnsiTheme="majorHAnsi"/>
                <w:sz w:val="20"/>
                <w:szCs w:val="20"/>
              </w:rPr>
              <w:t>Devices for functional neuromuscular stimulation, transcutaneous stimulation of sequential muscle groups of ambulation with computer control, used for walking by spinal cord injured, entire system, after completion of training program</w:t>
            </w:r>
          </w:p>
        </w:tc>
        <w:tc>
          <w:tcPr>
            <w:tcW w:w="1994" w:type="dxa"/>
            <w:shd w:val="clear" w:color="auto" w:fill="auto"/>
          </w:tcPr>
          <w:p w:rsidR="0061773D" w:rsidRPr="000B39C2" w:rsidRDefault="0061773D" w:rsidP="00B0387E">
            <w:pPr>
              <w:spacing w:line="276" w:lineRule="auto"/>
              <w:rPr>
                <w:bCs/>
                <w:szCs w:val="20"/>
              </w:rPr>
            </w:pPr>
            <w:r w:rsidRPr="000B39C2">
              <w:rPr>
                <w:bCs/>
                <w:szCs w:val="20"/>
              </w:rPr>
              <w:t xml:space="preserve">Explanatory text, </w:t>
            </w:r>
            <w:r w:rsidRPr="00DC76B6">
              <w:t xml:space="preserve">discussion documents, </w:t>
            </w:r>
            <w:r w:rsidRPr="000B39C2">
              <w:rPr>
                <w:bCs/>
                <w:szCs w:val="20"/>
              </w:rPr>
              <w:t>practical examples</w:t>
            </w:r>
            <w:r>
              <w:t xml:space="preserve">, </w:t>
            </w:r>
            <w:r w:rsidRPr="00DC76B6">
              <w:t>conclusions</w:t>
            </w:r>
          </w:p>
        </w:tc>
        <w:tc>
          <w:tcPr>
            <w:tcW w:w="1428" w:type="dxa"/>
            <w:shd w:val="clear" w:color="auto" w:fill="auto"/>
          </w:tcPr>
          <w:p w:rsidR="0061773D" w:rsidRPr="000B39C2" w:rsidRDefault="0061773D" w:rsidP="00B0387E">
            <w:pPr>
              <w:spacing w:line="276" w:lineRule="auto"/>
              <w:jc w:val="center"/>
              <w:rPr>
                <w:bCs/>
                <w:szCs w:val="20"/>
              </w:rPr>
            </w:pPr>
            <w:r>
              <w:rPr>
                <w:bCs/>
                <w:szCs w:val="20"/>
              </w:rPr>
              <w:t>6</w:t>
            </w:r>
            <w:r w:rsidRPr="000B39C2">
              <w:rPr>
                <w:bCs/>
                <w:szCs w:val="20"/>
              </w:rPr>
              <w:t xml:space="preserve"> hour</w:t>
            </w:r>
          </w:p>
        </w:tc>
      </w:tr>
      <w:tr w:rsidR="0061773D" w:rsidRPr="00730232" w:rsidTr="0061773D">
        <w:tc>
          <w:tcPr>
            <w:tcW w:w="451" w:type="dxa"/>
            <w:shd w:val="clear" w:color="auto" w:fill="auto"/>
            <w:vAlign w:val="center"/>
          </w:tcPr>
          <w:p w:rsidR="0061773D" w:rsidRPr="00730232" w:rsidRDefault="0061773D"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rsidR="0061773D" w:rsidRPr="000B39C2" w:rsidRDefault="0061773D" w:rsidP="00B0387E">
            <w:pPr>
              <w:pStyle w:val="Default"/>
              <w:rPr>
                <w:rFonts w:ascii="Trebuchet MS" w:hAnsi="Trebuchet MS"/>
                <w:bCs/>
                <w:color w:val="auto"/>
                <w:sz w:val="20"/>
                <w:szCs w:val="20"/>
                <w:lang w:val="ro-RO"/>
              </w:rPr>
            </w:pPr>
            <w:r w:rsidRPr="000B39C2">
              <w:rPr>
                <w:rFonts w:ascii="Trebuchet MS" w:hAnsi="Trebuchet MS"/>
                <w:sz w:val="20"/>
                <w:szCs w:val="20"/>
                <w:lang w:val="ro-RO"/>
              </w:rPr>
              <w:t>2. Neuromuscular electrical stimulation (NMES)</w:t>
            </w:r>
          </w:p>
        </w:tc>
        <w:tc>
          <w:tcPr>
            <w:tcW w:w="1994" w:type="dxa"/>
            <w:shd w:val="clear" w:color="auto" w:fill="auto"/>
          </w:tcPr>
          <w:p w:rsidR="0061773D" w:rsidRPr="000B39C2" w:rsidRDefault="0061773D" w:rsidP="00B0387E">
            <w:pPr>
              <w:spacing w:line="276" w:lineRule="auto"/>
              <w:rPr>
                <w:bCs/>
                <w:szCs w:val="20"/>
              </w:rPr>
            </w:pPr>
            <w:r w:rsidRPr="000B39C2">
              <w:rPr>
                <w:bCs/>
                <w:szCs w:val="20"/>
              </w:rPr>
              <w:t xml:space="preserve">Explanatory text, </w:t>
            </w:r>
            <w:r w:rsidRPr="00DC76B6">
              <w:t xml:space="preserve">discussion documents, </w:t>
            </w:r>
            <w:r w:rsidRPr="000B39C2">
              <w:rPr>
                <w:bCs/>
                <w:szCs w:val="20"/>
              </w:rPr>
              <w:t>practical examples</w:t>
            </w:r>
            <w:r>
              <w:t xml:space="preserve">, </w:t>
            </w:r>
            <w:r w:rsidRPr="00DC76B6">
              <w:t>conclusions</w:t>
            </w:r>
          </w:p>
        </w:tc>
        <w:tc>
          <w:tcPr>
            <w:tcW w:w="1428" w:type="dxa"/>
            <w:shd w:val="clear" w:color="auto" w:fill="auto"/>
          </w:tcPr>
          <w:p w:rsidR="0061773D" w:rsidRPr="000B39C2" w:rsidRDefault="0061773D" w:rsidP="00B0387E">
            <w:pPr>
              <w:spacing w:line="276" w:lineRule="auto"/>
              <w:jc w:val="center"/>
              <w:rPr>
                <w:bCs/>
                <w:szCs w:val="20"/>
              </w:rPr>
            </w:pPr>
            <w:r>
              <w:rPr>
                <w:bCs/>
                <w:szCs w:val="20"/>
              </w:rPr>
              <w:t>4</w:t>
            </w:r>
            <w:r w:rsidRPr="000B39C2">
              <w:rPr>
                <w:bCs/>
                <w:szCs w:val="20"/>
              </w:rPr>
              <w:t xml:space="preserve"> hour</w:t>
            </w:r>
          </w:p>
        </w:tc>
      </w:tr>
      <w:tr w:rsidR="0061773D" w:rsidRPr="00730232" w:rsidTr="0061773D">
        <w:tc>
          <w:tcPr>
            <w:tcW w:w="451" w:type="dxa"/>
            <w:shd w:val="clear" w:color="auto" w:fill="auto"/>
            <w:vAlign w:val="center"/>
          </w:tcPr>
          <w:p w:rsidR="0061773D" w:rsidRPr="00730232" w:rsidRDefault="0061773D"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rsidR="0061773D" w:rsidRPr="000B39C2" w:rsidRDefault="0061773D" w:rsidP="00B0387E">
            <w:pPr>
              <w:pStyle w:val="Default"/>
              <w:rPr>
                <w:rFonts w:ascii="Trebuchet MS" w:hAnsi="Trebuchet MS"/>
                <w:bCs/>
                <w:color w:val="auto"/>
                <w:sz w:val="20"/>
                <w:szCs w:val="20"/>
                <w:lang w:val="ro-RO"/>
              </w:rPr>
            </w:pPr>
            <w:r w:rsidRPr="000B39C2">
              <w:rPr>
                <w:rFonts w:ascii="Trebuchet MS" w:hAnsi="Trebuchet MS"/>
                <w:bCs/>
                <w:color w:val="auto"/>
                <w:sz w:val="20"/>
                <w:szCs w:val="20"/>
                <w:lang w:val="ro-RO"/>
              </w:rPr>
              <w:t>3. Electrical stimulation for the treatment of pain</w:t>
            </w:r>
            <w:bookmarkStart w:id="0" w:name="_GoBack"/>
            <w:bookmarkEnd w:id="0"/>
          </w:p>
        </w:tc>
        <w:tc>
          <w:tcPr>
            <w:tcW w:w="1994" w:type="dxa"/>
            <w:shd w:val="clear" w:color="auto" w:fill="auto"/>
          </w:tcPr>
          <w:p w:rsidR="0061773D" w:rsidRPr="000B39C2" w:rsidRDefault="0061773D" w:rsidP="00B0387E">
            <w:pPr>
              <w:spacing w:line="276" w:lineRule="auto"/>
              <w:rPr>
                <w:bCs/>
                <w:szCs w:val="20"/>
              </w:rPr>
            </w:pPr>
            <w:r w:rsidRPr="000B39C2">
              <w:rPr>
                <w:bCs/>
                <w:szCs w:val="20"/>
              </w:rPr>
              <w:t xml:space="preserve">Explanatory text, </w:t>
            </w:r>
            <w:r w:rsidRPr="00DC76B6">
              <w:t xml:space="preserve">discussion documents, </w:t>
            </w:r>
            <w:r w:rsidRPr="000B39C2">
              <w:rPr>
                <w:bCs/>
                <w:szCs w:val="20"/>
              </w:rPr>
              <w:t>practical examples</w:t>
            </w:r>
            <w:r>
              <w:t xml:space="preserve">, </w:t>
            </w:r>
            <w:r w:rsidRPr="00DC76B6">
              <w:t>conclusions</w:t>
            </w:r>
          </w:p>
        </w:tc>
        <w:tc>
          <w:tcPr>
            <w:tcW w:w="1428" w:type="dxa"/>
            <w:shd w:val="clear" w:color="auto" w:fill="auto"/>
          </w:tcPr>
          <w:p w:rsidR="0061773D" w:rsidRPr="000B39C2" w:rsidRDefault="0061773D" w:rsidP="00B0387E">
            <w:pPr>
              <w:spacing w:line="276" w:lineRule="auto"/>
              <w:jc w:val="center"/>
              <w:rPr>
                <w:bCs/>
                <w:szCs w:val="20"/>
              </w:rPr>
            </w:pPr>
            <w:r>
              <w:rPr>
                <w:bCs/>
                <w:szCs w:val="20"/>
              </w:rPr>
              <w:t>4</w:t>
            </w:r>
            <w:r w:rsidRPr="000B39C2">
              <w:rPr>
                <w:bCs/>
                <w:szCs w:val="20"/>
              </w:rPr>
              <w:t xml:space="preserve"> hour</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25354B"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61773D" w:rsidRPr="0025354B" w:rsidTr="002326CD">
        <w:tc>
          <w:tcPr>
            <w:tcW w:w="10044" w:type="dxa"/>
          </w:tcPr>
          <w:p w:rsidR="0061773D" w:rsidRPr="0025354B" w:rsidRDefault="0061773D" w:rsidP="0061773D">
            <w:pPr>
              <w:numPr>
                <w:ilvl w:val="0"/>
                <w:numId w:val="6"/>
              </w:numPr>
              <w:shd w:val="clear" w:color="auto" w:fill="FFFFFF"/>
              <w:spacing w:before="100" w:beforeAutospacing="1" w:after="24" w:line="240" w:lineRule="auto"/>
              <w:jc w:val="both"/>
              <w:rPr>
                <w:rFonts w:cs="Arial"/>
                <w:szCs w:val="20"/>
              </w:rPr>
            </w:pPr>
            <w:r w:rsidRPr="0025354B">
              <w:rPr>
                <w:rFonts w:cs="Arial"/>
                <w:szCs w:val="20"/>
              </w:rPr>
              <w:t>Thrasher TA, Flett HM, Popovic MR. Gait training regimen for incomplete spinal cord injury using functional electrical stimulation. </w:t>
            </w:r>
            <w:r w:rsidRPr="0025354B">
              <w:rPr>
                <w:rFonts w:cs="Arial"/>
                <w:iCs/>
                <w:szCs w:val="20"/>
              </w:rPr>
              <w:t>Spinal Cord</w:t>
            </w:r>
            <w:r w:rsidRPr="0025354B">
              <w:rPr>
                <w:rFonts w:cs="Arial"/>
                <w:szCs w:val="20"/>
              </w:rPr>
              <w:t> 44: 2006.</w:t>
            </w:r>
          </w:p>
        </w:tc>
      </w:tr>
      <w:tr w:rsidR="0061773D" w:rsidRPr="0025354B" w:rsidTr="002326CD">
        <w:tc>
          <w:tcPr>
            <w:tcW w:w="10044" w:type="dxa"/>
          </w:tcPr>
          <w:p w:rsidR="0061773D" w:rsidRPr="0025354B" w:rsidRDefault="0061773D" w:rsidP="0061773D">
            <w:pPr>
              <w:numPr>
                <w:ilvl w:val="0"/>
                <w:numId w:val="6"/>
              </w:numPr>
              <w:shd w:val="clear" w:color="auto" w:fill="FFFFFF"/>
              <w:spacing w:before="100" w:beforeAutospacing="1" w:after="24" w:line="240" w:lineRule="auto"/>
              <w:jc w:val="both"/>
              <w:rPr>
                <w:rFonts w:cs="Arial"/>
                <w:szCs w:val="20"/>
              </w:rPr>
            </w:pPr>
            <w:r w:rsidRPr="0025354B">
              <w:rPr>
                <w:rFonts w:cs="Arial"/>
                <w:szCs w:val="20"/>
              </w:rPr>
              <w:lastRenderedPageBreak/>
              <w:t>N. Kapadia, K. Masani, B.C. Craven, L.M. Giangregorio, S.L. Hitzig, K. Richards, M.R. Popovic, A randomized trial of functional electrical stimulation for walking in incomplete spinal cord injury: Effects on walking competency,The Journal of Spinal Cord Medicine, vol. 37, no. 5, 2014.</w:t>
            </w:r>
          </w:p>
        </w:tc>
      </w:tr>
      <w:tr w:rsidR="0061773D" w:rsidRPr="0025354B" w:rsidTr="002326CD">
        <w:tc>
          <w:tcPr>
            <w:tcW w:w="10044" w:type="dxa"/>
          </w:tcPr>
          <w:p w:rsidR="0061773D" w:rsidRPr="0025354B" w:rsidRDefault="0061773D" w:rsidP="0061773D">
            <w:pPr>
              <w:numPr>
                <w:ilvl w:val="0"/>
                <w:numId w:val="6"/>
              </w:numPr>
              <w:shd w:val="clear" w:color="auto" w:fill="FFFFFF"/>
              <w:spacing w:before="100" w:beforeAutospacing="1" w:after="24" w:line="240" w:lineRule="auto"/>
              <w:jc w:val="both"/>
              <w:rPr>
                <w:rFonts w:cs="Arial"/>
                <w:szCs w:val="20"/>
              </w:rPr>
            </w:pPr>
            <w:r w:rsidRPr="0025354B">
              <w:rPr>
                <w:rFonts w:cs="Arial"/>
                <w:szCs w:val="20"/>
              </w:rPr>
              <w:t>Triolo RJ, Bieri C, Uhlir J, Kobetic R, Scheiner A, Marsolais EB. Implanted Functional Neuromuscular Stimulation systems for individuals with cervical spinal cord injuries: clinical case reports. </w:t>
            </w:r>
            <w:r w:rsidRPr="0025354B">
              <w:rPr>
                <w:rFonts w:cs="Arial"/>
                <w:iCs/>
                <w:szCs w:val="20"/>
              </w:rPr>
              <w:t>Archives of physical medicine and rehabilitation</w:t>
            </w:r>
            <w:r w:rsidRPr="0025354B">
              <w:rPr>
                <w:rFonts w:cs="Arial"/>
                <w:szCs w:val="20"/>
              </w:rPr>
              <w:t>.</w:t>
            </w:r>
          </w:p>
        </w:tc>
      </w:tr>
      <w:tr w:rsidR="0061773D" w:rsidRPr="0025354B" w:rsidTr="002326CD">
        <w:tc>
          <w:tcPr>
            <w:tcW w:w="10044" w:type="dxa"/>
          </w:tcPr>
          <w:p w:rsidR="0061773D" w:rsidRPr="0025354B" w:rsidRDefault="0061773D" w:rsidP="0061773D">
            <w:pPr>
              <w:numPr>
                <w:ilvl w:val="0"/>
                <w:numId w:val="6"/>
              </w:numPr>
              <w:shd w:val="clear" w:color="auto" w:fill="FFFFFF"/>
              <w:spacing w:before="100" w:beforeAutospacing="1" w:after="24" w:line="240" w:lineRule="auto"/>
              <w:jc w:val="both"/>
              <w:rPr>
                <w:rFonts w:cs="Arial"/>
                <w:szCs w:val="20"/>
              </w:rPr>
            </w:pPr>
            <w:r w:rsidRPr="0025354B">
              <w:rPr>
                <w:rFonts w:cs="Arial"/>
                <w:szCs w:val="20"/>
              </w:rPr>
              <w:t>Kobetic R, To CS, Schnellenberger JR, Audu ML, Bulea TC, Gaudio R, Pinault G, Tashman S, Triolo RJ. Development of hybrid orthosis for standing, walking, and stair climbing after spinal cord injury. </w:t>
            </w:r>
            <w:r w:rsidRPr="0025354B">
              <w:rPr>
                <w:rFonts w:cs="Arial"/>
                <w:iCs/>
                <w:szCs w:val="20"/>
              </w:rPr>
              <w:t>Journal of rehabilitation research and development</w:t>
            </w:r>
            <w:r w:rsidRPr="0025354B">
              <w:rPr>
                <w:rFonts w:cs="Arial"/>
                <w:szCs w:val="20"/>
              </w:rPr>
              <w:t> 46: 2009.</w:t>
            </w:r>
          </w:p>
        </w:tc>
      </w:tr>
      <w:tr w:rsidR="0061773D" w:rsidRPr="0025354B" w:rsidTr="002326CD">
        <w:tc>
          <w:tcPr>
            <w:tcW w:w="10044" w:type="dxa"/>
          </w:tcPr>
          <w:p w:rsidR="0061773D" w:rsidRPr="0025354B" w:rsidRDefault="0061773D" w:rsidP="0061773D">
            <w:pPr>
              <w:pStyle w:val="ListParagraph"/>
              <w:numPr>
                <w:ilvl w:val="0"/>
                <w:numId w:val="6"/>
              </w:numPr>
            </w:pPr>
            <w:r w:rsidRPr="0025354B">
              <w:rPr>
                <w:szCs w:val="20"/>
              </w:rPr>
              <w:t>Burridge JH, Haugland M, Larsen B, Svaneborg N, Iversen HK, Christensen PB, Pickering RM, Sinkjaer T, Patients' perceptions of the benefits and problems of using the ActiGait implanted drop-foot stimulator. J Rehabil Med 40: 2008</w:t>
            </w:r>
          </w:p>
        </w:tc>
      </w:tr>
    </w:tbl>
    <w:p w:rsidR="00240907" w:rsidRPr="0025354B" w:rsidRDefault="00240907" w:rsidP="006D03C7">
      <w:pPr>
        <w:jc w:val="both"/>
        <w:rPr>
          <w:rFonts w:asciiTheme="majorHAnsi" w:hAnsiTheme="majorHAnsi"/>
          <w:b/>
          <w:bCs/>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RPr="0025354B" w:rsidTr="000657D1">
        <w:tc>
          <w:tcPr>
            <w:tcW w:w="10044" w:type="dxa"/>
          </w:tcPr>
          <w:p w:rsidR="00830AAE" w:rsidRPr="0025354B" w:rsidRDefault="006B7D20" w:rsidP="006D03C7">
            <w:pPr>
              <w:jc w:val="both"/>
              <w:rPr>
                <w:rFonts w:asciiTheme="majorHAnsi" w:hAnsiTheme="majorHAnsi"/>
                <w:b/>
                <w:bCs/>
                <w:szCs w:val="20"/>
                <w:lang w:val="it-IT"/>
              </w:rPr>
            </w:pPr>
            <w:r w:rsidRPr="0025354B">
              <w:rPr>
                <w:rFonts w:asciiTheme="majorHAnsi" w:hAnsiTheme="majorHAnsi"/>
                <w:b/>
                <w:bCs/>
                <w:szCs w:val="20"/>
                <w:lang w:val="it-IT"/>
              </w:rPr>
              <w:t>Elective</w:t>
            </w:r>
            <w:r w:rsidR="000C7BDB" w:rsidRPr="0025354B">
              <w:rPr>
                <w:rFonts w:asciiTheme="majorHAnsi" w:hAnsiTheme="majorHAnsi"/>
                <w:b/>
                <w:bCs/>
                <w:szCs w:val="20"/>
                <w:lang w:val="it-IT"/>
              </w:rPr>
              <w:t>:</w:t>
            </w:r>
          </w:p>
        </w:tc>
      </w:tr>
      <w:tr w:rsidR="0061773D" w:rsidRPr="0025354B" w:rsidTr="000657D1">
        <w:tc>
          <w:tcPr>
            <w:tcW w:w="10044" w:type="dxa"/>
          </w:tcPr>
          <w:p w:rsidR="0061773D" w:rsidRPr="0025354B" w:rsidRDefault="0061773D" w:rsidP="0061773D">
            <w:pPr>
              <w:numPr>
                <w:ilvl w:val="0"/>
                <w:numId w:val="6"/>
              </w:numPr>
              <w:shd w:val="clear" w:color="auto" w:fill="FFFFFF"/>
              <w:spacing w:before="100" w:beforeAutospacing="1" w:after="24" w:line="240" w:lineRule="auto"/>
              <w:jc w:val="both"/>
              <w:rPr>
                <w:rFonts w:cs="Arial"/>
                <w:szCs w:val="20"/>
              </w:rPr>
            </w:pPr>
            <w:r w:rsidRPr="0025354B">
              <w:rPr>
                <w:rFonts w:cs="Arial"/>
                <w:szCs w:val="20"/>
              </w:rPr>
              <w:t>Popovic D, Tomović R, Schwirtlich L. Hybrid assistive system--the motor neuroprosthesis. </w:t>
            </w:r>
            <w:r w:rsidRPr="0025354B">
              <w:rPr>
                <w:rFonts w:cs="Arial"/>
                <w:iCs/>
                <w:szCs w:val="20"/>
              </w:rPr>
              <w:t>IEEE transactions on bio-medical engineering</w:t>
            </w:r>
            <w:r w:rsidRPr="0025354B">
              <w:rPr>
                <w:rFonts w:cs="Arial"/>
                <w:szCs w:val="20"/>
              </w:rPr>
              <w:t> 36: 1989.</w:t>
            </w:r>
          </w:p>
        </w:tc>
      </w:tr>
      <w:tr w:rsidR="0061773D" w:rsidRPr="0025354B" w:rsidTr="000657D1">
        <w:tc>
          <w:tcPr>
            <w:tcW w:w="10044" w:type="dxa"/>
          </w:tcPr>
          <w:p w:rsidR="0061773D" w:rsidRPr="0025354B" w:rsidRDefault="0061773D" w:rsidP="0061773D">
            <w:pPr>
              <w:numPr>
                <w:ilvl w:val="0"/>
                <w:numId w:val="6"/>
              </w:numPr>
              <w:shd w:val="clear" w:color="auto" w:fill="FFFFFF"/>
              <w:spacing w:before="100" w:beforeAutospacing="1" w:after="24" w:line="240" w:lineRule="auto"/>
              <w:jc w:val="both"/>
              <w:rPr>
                <w:rFonts w:cs="Arial"/>
                <w:szCs w:val="20"/>
              </w:rPr>
            </w:pPr>
            <w:r w:rsidRPr="0025354B">
              <w:rPr>
                <w:rFonts w:cs="Arial"/>
                <w:szCs w:val="20"/>
              </w:rPr>
              <w:t>Solomonow M, Baratta R, Hirokawa S, Rightor N, Walker W, Beaudette P, Shoji H, D'Ambrosia R. The RGO Generation II: muscle stimulation powered orthosis as a practical walking system for thoracic paraplegics. </w:t>
            </w:r>
            <w:r w:rsidRPr="0025354B">
              <w:rPr>
                <w:rFonts w:cs="Arial"/>
                <w:iCs/>
                <w:szCs w:val="20"/>
              </w:rPr>
              <w:t>Orthopedics</w:t>
            </w:r>
            <w:r w:rsidRPr="0025354B">
              <w:rPr>
                <w:rFonts w:cs="Arial"/>
                <w:szCs w:val="20"/>
              </w:rPr>
              <w:t> 12: 1989.</w:t>
            </w:r>
          </w:p>
        </w:tc>
      </w:tr>
    </w:tbl>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25354B"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61773D" w:rsidRDefault="0061773D" w:rsidP="0061773D">
            <w:pPr>
              <w:pStyle w:val="ListParagraph"/>
              <w:numPr>
                <w:ilvl w:val="0"/>
                <w:numId w:val="5"/>
              </w:numPr>
              <w:autoSpaceDE w:val="0"/>
              <w:autoSpaceDN w:val="0"/>
              <w:adjustRightInd w:val="0"/>
              <w:rPr>
                <w:rFonts w:asciiTheme="majorHAnsi" w:hAnsiTheme="majorHAnsi" w:cs="TimesNewRoman"/>
                <w:szCs w:val="20"/>
                <w:lang w:bidi="ne-NP"/>
              </w:rPr>
            </w:pPr>
            <w:r w:rsidRPr="003C1ACE">
              <w:rPr>
                <w:lang w:val="en-US"/>
              </w:rPr>
              <w:t xml:space="preserve">Knowing the </w:t>
            </w:r>
            <w:r w:rsidRPr="003C1ACE">
              <w:rPr>
                <w:color w:val="000000"/>
              </w:rPr>
              <w:t xml:space="preserve">basic notions for </w:t>
            </w:r>
            <w:r>
              <w:rPr>
                <w:color w:val="000000"/>
              </w:rPr>
              <w:t xml:space="preserve">functional electric stimulation </w:t>
            </w:r>
            <w:r w:rsidRPr="003C1ACE">
              <w:t>in medical rehabilitation</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4D6A3A" w:rsidRDefault="004D6A3A"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EB6CDB"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13.09</w:t>
            </w:r>
            <w:r w:rsidR="0025354B">
              <w:rPr>
                <w:rFonts w:asciiTheme="majorHAnsi" w:hAnsiTheme="majorHAnsi" w:cs="TimesNewRoman"/>
                <w:szCs w:val="20"/>
                <w:lang w:bidi="ne-NP"/>
              </w:rPr>
              <w:t>.2023</w:t>
            </w:r>
          </w:p>
        </w:tc>
        <w:tc>
          <w:tcPr>
            <w:tcW w:w="3870" w:type="dxa"/>
          </w:tcPr>
          <w:p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rsidR="001C6702" w:rsidRPr="0025354B" w:rsidRDefault="0025354B" w:rsidP="00AB2E3B">
            <w:pPr>
              <w:autoSpaceDE w:val="0"/>
              <w:autoSpaceDN w:val="0"/>
              <w:adjustRightInd w:val="0"/>
              <w:rPr>
                <w:rFonts w:asciiTheme="majorHAnsi" w:hAnsiTheme="majorHAnsi" w:cs="TimesNewRoman"/>
                <w:szCs w:val="20"/>
                <w:lang w:bidi="ne-NP"/>
              </w:rPr>
            </w:pPr>
            <w:r w:rsidRPr="0025354B">
              <w:rPr>
                <w:rFonts w:asciiTheme="majorHAnsi" w:hAnsiTheme="majorHAnsi"/>
              </w:rPr>
              <w:t xml:space="preserve">Associate professor </w:t>
            </w:r>
            <w:r w:rsidRPr="0025354B">
              <w:rPr>
                <w:rFonts w:asciiTheme="majorHAnsi" w:hAnsiTheme="majorHAnsi"/>
              </w:rPr>
              <w:fldChar w:fldCharType="begin"/>
            </w:r>
            <w:r w:rsidRPr="0025354B">
              <w:rPr>
                <w:rFonts w:asciiTheme="majorHAnsi" w:hAnsiTheme="majorHAnsi"/>
              </w:rPr>
              <w:instrText xml:space="preserve"> MERGEFIELD "Titular_LP" </w:instrText>
            </w:r>
            <w:r w:rsidRPr="0025354B">
              <w:rPr>
                <w:rFonts w:asciiTheme="majorHAnsi" w:hAnsiTheme="majorHAnsi"/>
              </w:rPr>
              <w:fldChar w:fldCharType="separate"/>
            </w:r>
            <w:r w:rsidRPr="0025354B">
              <w:rPr>
                <w:rFonts w:asciiTheme="majorHAnsi" w:hAnsiTheme="majorHAnsi"/>
                <w:noProof/>
              </w:rPr>
              <w:t>Dan Zaharia</w:t>
            </w:r>
            <w:r w:rsidRPr="0025354B">
              <w:rPr>
                <w:rFonts w:asciiTheme="majorHAnsi" w:hAnsiTheme="majorHAnsi"/>
              </w:rPr>
              <w:fldChar w:fldCharType="end"/>
            </w:r>
            <w:r w:rsidRPr="0025354B">
              <w:rPr>
                <w:rFonts w:asciiTheme="majorHAnsi" w:hAnsiTheme="majorHAnsi"/>
              </w:rPr>
              <w:t>, MD, PhD</w:t>
            </w:r>
          </w:p>
        </w:tc>
      </w:tr>
    </w:tbl>
    <w:p w:rsidR="000C7BDB" w:rsidRDefault="000C7BDB"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61773D" w:rsidRDefault="0061773D" w:rsidP="00CF6B2D">
      <w:pPr>
        <w:autoSpaceDE w:val="0"/>
        <w:autoSpaceDN w:val="0"/>
        <w:adjustRightInd w:val="0"/>
        <w:rPr>
          <w:rFonts w:asciiTheme="majorHAnsi" w:hAnsiTheme="majorHAnsi" w:cs="TimesNewRoman"/>
          <w:szCs w:val="20"/>
          <w:lang w:bidi="ne-NP"/>
        </w:rPr>
      </w:pPr>
    </w:p>
    <w:p w:rsidR="0061773D" w:rsidRDefault="0061773D"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EB6CDB"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25354B">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25354B" w:rsidRDefault="0025354B" w:rsidP="0025354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 Daniela-Viorelia Matei, MD, PhD</w:t>
            </w:r>
          </w:p>
          <w:p w:rsidR="000C7BDB" w:rsidRDefault="000C7BDB" w:rsidP="0025354B">
            <w:pPr>
              <w:autoSpaceDE w:val="0"/>
              <w:autoSpaceDN w:val="0"/>
              <w:adjustRightInd w:val="0"/>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63" w:rsidRDefault="00FB1463" w:rsidP="003620AC">
      <w:pPr>
        <w:spacing w:line="240" w:lineRule="auto"/>
      </w:pPr>
      <w:r>
        <w:separator/>
      </w:r>
    </w:p>
  </w:endnote>
  <w:endnote w:type="continuationSeparator" w:id="0">
    <w:p w:rsidR="00FB1463" w:rsidRDefault="00FB146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138DF">
                            <w:rPr>
                              <w:noProof/>
                              <w:color w:val="7F7F7F" w:themeColor="text1" w:themeTint="80"/>
                            </w:rPr>
                            <w:t>4</w:t>
                          </w:r>
                          <w:r w:rsidRPr="00A314B1">
                            <w:rPr>
                              <w:color w:val="7F7F7F" w:themeColor="text1" w:themeTint="80"/>
                            </w:rPr>
                            <w:fldChar w:fldCharType="end"/>
                          </w:r>
                          <w:r>
                            <w:t xml:space="preserve"> din </w:t>
                          </w:r>
                          <w:fldSimple w:instr=" NUMPAGES   \* MERGEFORMAT ">
                            <w:r w:rsidR="007138DF">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138DF">
                      <w:rPr>
                        <w:noProof/>
                        <w:color w:val="7F7F7F" w:themeColor="text1" w:themeTint="80"/>
                      </w:rPr>
                      <w:t>4</w:t>
                    </w:r>
                    <w:r w:rsidRPr="00A314B1">
                      <w:rPr>
                        <w:color w:val="7F7F7F" w:themeColor="text1" w:themeTint="80"/>
                      </w:rPr>
                      <w:fldChar w:fldCharType="end"/>
                    </w:r>
                    <w:r>
                      <w:t xml:space="preserve"> din </w:t>
                    </w:r>
                    <w:fldSimple w:instr=" NUMPAGES   \* MERGEFORMAT ">
                      <w:r w:rsidR="007138DF">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84625">
                            <w:rPr>
                              <w:noProof/>
                              <w:color w:val="7F7F7F" w:themeColor="text1" w:themeTint="80"/>
                            </w:rPr>
                            <w:t>1</w:t>
                          </w:r>
                          <w:r w:rsidRPr="00A314B1">
                            <w:rPr>
                              <w:color w:val="7F7F7F" w:themeColor="text1" w:themeTint="80"/>
                            </w:rPr>
                            <w:fldChar w:fldCharType="end"/>
                          </w:r>
                          <w:r>
                            <w:t xml:space="preserve"> din </w:t>
                          </w:r>
                          <w:fldSimple w:instr=" NUMPAGES   \* MERGEFORMAT ">
                            <w:r w:rsidR="00D84625">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84625">
                      <w:rPr>
                        <w:noProof/>
                        <w:color w:val="7F7F7F" w:themeColor="text1" w:themeTint="80"/>
                      </w:rPr>
                      <w:t>1</w:t>
                    </w:r>
                    <w:r w:rsidRPr="00A314B1">
                      <w:rPr>
                        <w:color w:val="7F7F7F" w:themeColor="text1" w:themeTint="80"/>
                      </w:rPr>
                      <w:fldChar w:fldCharType="end"/>
                    </w:r>
                    <w:r>
                      <w:t xml:space="preserve"> din </w:t>
                    </w:r>
                    <w:fldSimple w:instr=" NUMPAGES   \* MERGEFORMAT ">
                      <w:r w:rsidR="00D84625">
                        <w:rPr>
                          <w:noProof/>
                        </w:rPr>
                        <w:t>1</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63" w:rsidRDefault="00FB1463" w:rsidP="003620AC">
      <w:pPr>
        <w:spacing w:line="240" w:lineRule="auto"/>
      </w:pPr>
      <w:r>
        <w:separator/>
      </w:r>
    </w:p>
  </w:footnote>
  <w:footnote w:type="continuationSeparator" w:id="0">
    <w:p w:rsidR="00FB1463" w:rsidRDefault="00FB146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62D8"/>
    <w:rsid w:val="000E77C0"/>
    <w:rsid w:val="000F6B2B"/>
    <w:rsid w:val="00112ABC"/>
    <w:rsid w:val="00113F10"/>
    <w:rsid w:val="00116327"/>
    <w:rsid w:val="00117E90"/>
    <w:rsid w:val="00123697"/>
    <w:rsid w:val="00130E44"/>
    <w:rsid w:val="00132BC0"/>
    <w:rsid w:val="001336B1"/>
    <w:rsid w:val="001471BD"/>
    <w:rsid w:val="001564D8"/>
    <w:rsid w:val="00163C51"/>
    <w:rsid w:val="001674EA"/>
    <w:rsid w:val="00171AC8"/>
    <w:rsid w:val="00183CB1"/>
    <w:rsid w:val="00187798"/>
    <w:rsid w:val="00187B55"/>
    <w:rsid w:val="00193DF5"/>
    <w:rsid w:val="00197314"/>
    <w:rsid w:val="001A2B0D"/>
    <w:rsid w:val="001A2BE9"/>
    <w:rsid w:val="001A52B1"/>
    <w:rsid w:val="001C6702"/>
    <w:rsid w:val="001D7D11"/>
    <w:rsid w:val="001E4D6F"/>
    <w:rsid w:val="001F23F1"/>
    <w:rsid w:val="001F3E16"/>
    <w:rsid w:val="00211510"/>
    <w:rsid w:val="00212725"/>
    <w:rsid w:val="002165F1"/>
    <w:rsid w:val="00216866"/>
    <w:rsid w:val="002226C5"/>
    <w:rsid w:val="002326CD"/>
    <w:rsid w:val="00235B29"/>
    <w:rsid w:val="00235D5B"/>
    <w:rsid w:val="00240907"/>
    <w:rsid w:val="00251FB5"/>
    <w:rsid w:val="0025354B"/>
    <w:rsid w:val="00255506"/>
    <w:rsid w:val="00270DCB"/>
    <w:rsid w:val="00285EF1"/>
    <w:rsid w:val="0028695D"/>
    <w:rsid w:val="00290F76"/>
    <w:rsid w:val="002941DB"/>
    <w:rsid w:val="002943B2"/>
    <w:rsid w:val="00297011"/>
    <w:rsid w:val="00297D1A"/>
    <w:rsid w:val="002A1D57"/>
    <w:rsid w:val="002A31CE"/>
    <w:rsid w:val="002A5571"/>
    <w:rsid w:val="002B10B6"/>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40601"/>
    <w:rsid w:val="00443AAF"/>
    <w:rsid w:val="004505B8"/>
    <w:rsid w:val="00456785"/>
    <w:rsid w:val="0046495B"/>
    <w:rsid w:val="0047316F"/>
    <w:rsid w:val="0047625F"/>
    <w:rsid w:val="00482ED4"/>
    <w:rsid w:val="00483986"/>
    <w:rsid w:val="00484F5D"/>
    <w:rsid w:val="0049528C"/>
    <w:rsid w:val="00497444"/>
    <w:rsid w:val="004A18B3"/>
    <w:rsid w:val="004A6A98"/>
    <w:rsid w:val="004A6BE1"/>
    <w:rsid w:val="004B2C0C"/>
    <w:rsid w:val="004C017A"/>
    <w:rsid w:val="004C5389"/>
    <w:rsid w:val="004D1805"/>
    <w:rsid w:val="004D6A3A"/>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C75E1"/>
    <w:rsid w:val="005F0D6C"/>
    <w:rsid w:val="005F0F9E"/>
    <w:rsid w:val="005F62D7"/>
    <w:rsid w:val="005F7489"/>
    <w:rsid w:val="005F7C27"/>
    <w:rsid w:val="0061072E"/>
    <w:rsid w:val="0061773D"/>
    <w:rsid w:val="006207C8"/>
    <w:rsid w:val="00621AF2"/>
    <w:rsid w:val="00622996"/>
    <w:rsid w:val="00624DE6"/>
    <w:rsid w:val="00627328"/>
    <w:rsid w:val="00633C67"/>
    <w:rsid w:val="00633E09"/>
    <w:rsid w:val="00635A34"/>
    <w:rsid w:val="00651621"/>
    <w:rsid w:val="0067305E"/>
    <w:rsid w:val="00675F59"/>
    <w:rsid w:val="00681BAF"/>
    <w:rsid w:val="00687B2B"/>
    <w:rsid w:val="0069581B"/>
    <w:rsid w:val="006A4D55"/>
    <w:rsid w:val="006B02D7"/>
    <w:rsid w:val="006B0BD1"/>
    <w:rsid w:val="006B7D20"/>
    <w:rsid w:val="006C6FE3"/>
    <w:rsid w:val="006D03C7"/>
    <w:rsid w:val="006D5381"/>
    <w:rsid w:val="006E37AC"/>
    <w:rsid w:val="007007AC"/>
    <w:rsid w:val="007138DF"/>
    <w:rsid w:val="007156AE"/>
    <w:rsid w:val="00722182"/>
    <w:rsid w:val="00727754"/>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575A9"/>
    <w:rsid w:val="00970A1F"/>
    <w:rsid w:val="00970ED8"/>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9F0F04"/>
    <w:rsid w:val="00A045E2"/>
    <w:rsid w:val="00A0632E"/>
    <w:rsid w:val="00A10BF9"/>
    <w:rsid w:val="00A158F5"/>
    <w:rsid w:val="00A17EAE"/>
    <w:rsid w:val="00A314B1"/>
    <w:rsid w:val="00A45120"/>
    <w:rsid w:val="00A52389"/>
    <w:rsid w:val="00A54454"/>
    <w:rsid w:val="00A61612"/>
    <w:rsid w:val="00A77383"/>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46C75"/>
    <w:rsid w:val="00B55609"/>
    <w:rsid w:val="00B64EBD"/>
    <w:rsid w:val="00B70B7A"/>
    <w:rsid w:val="00B71C33"/>
    <w:rsid w:val="00B85535"/>
    <w:rsid w:val="00BB2FCD"/>
    <w:rsid w:val="00BC159B"/>
    <w:rsid w:val="00BC21AC"/>
    <w:rsid w:val="00BC23D8"/>
    <w:rsid w:val="00BD0368"/>
    <w:rsid w:val="00BD56FA"/>
    <w:rsid w:val="00BD5887"/>
    <w:rsid w:val="00BE78D8"/>
    <w:rsid w:val="00BF064D"/>
    <w:rsid w:val="00BF730A"/>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E708F"/>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1CBE"/>
    <w:rsid w:val="00D73F71"/>
    <w:rsid w:val="00D750EE"/>
    <w:rsid w:val="00D7634D"/>
    <w:rsid w:val="00D80D60"/>
    <w:rsid w:val="00D84625"/>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B6CDB"/>
    <w:rsid w:val="00EC5FC3"/>
    <w:rsid w:val="00ED2B3D"/>
    <w:rsid w:val="00EF00DF"/>
    <w:rsid w:val="00F03EC9"/>
    <w:rsid w:val="00F10704"/>
    <w:rsid w:val="00F14E7E"/>
    <w:rsid w:val="00F207A3"/>
    <w:rsid w:val="00F25D0D"/>
    <w:rsid w:val="00F51AE9"/>
    <w:rsid w:val="00F51B73"/>
    <w:rsid w:val="00F722E0"/>
    <w:rsid w:val="00F81A4E"/>
    <w:rsid w:val="00F969D6"/>
    <w:rsid w:val="00FB1463"/>
    <w:rsid w:val="00FB3260"/>
    <w:rsid w:val="00FC54A5"/>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paragraph" w:styleId="HTMLPreformatted">
    <w:name w:val="HTML Preformatted"/>
    <w:basedOn w:val="Normal"/>
    <w:link w:val="HTMLPreformattedChar"/>
    <w:rsid w:val="0061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61773D"/>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paragraph" w:styleId="HTMLPreformatted">
    <w:name w:val="HTML Preformatted"/>
    <w:basedOn w:val="Normal"/>
    <w:link w:val="HTMLPreformattedChar"/>
    <w:rsid w:val="00617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rsid w:val="0061773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27228"/>
    <w:rsid w:val="00176820"/>
    <w:rsid w:val="00184FEB"/>
    <w:rsid w:val="002F07FF"/>
    <w:rsid w:val="00404E09"/>
    <w:rsid w:val="005323FE"/>
    <w:rsid w:val="00541AF9"/>
    <w:rsid w:val="005C0F5E"/>
    <w:rsid w:val="00677CA6"/>
    <w:rsid w:val="007503BC"/>
    <w:rsid w:val="007C4169"/>
    <w:rsid w:val="007D5A13"/>
    <w:rsid w:val="00903848"/>
    <w:rsid w:val="009515A7"/>
    <w:rsid w:val="00990701"/>
    <w:rsid w:val="00A16407"/>
    <w:rsid w:val="00A97D36"/>
    <w:rsid w:val="00AE1BBD"/>
    <w:rsid w:val="00C76C48"/>
    <w:rsid w:val="00CC2AB0"/>
    <w:rsid w:val="00D634A7"/>
    <w:rsid w:val="00DB7C00"/>
    <w:rsid w:val="00E16DA2"/>
    <w:rsid w:val="00F2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MACCJ7WAEWV6-565203097-529</_dlc_DocId>
    <_dlc_DocIdUrl xmlns="4c155583-69f9-458b-843e-56574a4bdc09">
      <Url>https://www.umfiasi.ro/ro/academic/facultati/bioinginerie-medicala/_layouts/15/DocIdRedir.aspx?ID=MACCJ7WAEWV6-565203097-529</Url>
      <Description>MACCJ7WAEWV6-565203097-529</Description>
    </_dlc_DocIdUrl>
  </documentManagement>
</p:properties>
</file>

<file path=customXml/itemProps1.xml><?xml version="1.0" encoding="utf-8"?>
<ds:datastoreItem xmlns:ds="http://schemas.openxmlformats.org/officeDocument/2006/customXml" ds:itemID="{BABF346D-4A65-4718-A141-870BCB39F038}"/>
</file>

<file path=customXml/itemProps2.xml><?xml version="1.0" encoding="utf-8"?>
<ds:datastoreItem xmlns:ds="http://schemas.openxmlformats.org/officeDocument/2006/customXml" ds:itemID="{E2A569C1-7C4C-4839-A37E-67469003A5E4}"/>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B7B99848-CCFB-48B5-90DF-DE62CFD6077C}"/>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6832</Characters>
  <Application>Microsoft Office Word</Application>
  <DocSecurity>0</DocSecurity>
  <Lines>56</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2023-12-05T07:25:00Z</dcterms:created>
  <dcterms:modified xsi:type="dcterms:W3CDTF">2023-12-05T07:25:00Z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03558f78-8c91-4e8b-96b0-8e2924433df0</vt:lpwstr>
  </property>
</Properties>
</file>