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88630C" w:rsidRPr="00386A2F" w:rsidTr="00B04CE9">
        <w:tc>
          <w:tcPr>
            <w:tcW w:w="5211" w:type="dxa"/>
            <w:gridSpan w:val="4"/>
            <w:tcBorders>
              <w:bottom w:val="single" w:sz="4" w:space="0" w:color="auto"/>
            </w:tcBorders>
            <w:shd w:val="clear" w:color="auto" w:fill="F2F2F2" w:themeFill="background1" w:themeFillShade="F2"/>
          </w:tcPr>
          <w:p w:rsidR="0088630C" w:rsidRDefault="0088630C">
            <w:r w:rsidRPr="00B503CA">
              <w:t>Oncology and palliative care recovery</w:t>
            </w:r>
          </w:p>
        </w:tc>
        <w:tc>
          <w:tcPr>
            <w:tcW w:w="3261" w:type="dxa"/>
            <w:gridSpan w:val="2"/>
            <w:shd w:val="clear" w:color="auto" w:fill="auto"/>
          </w:tcPr>
          <w:p w:rsidR="0088630C" w:rsidRPr="0088630C" w:rsidRDefault="0088630C">
            <w:pPr>
              <w:rPr>
                <w:b/>
              </w:rPr>
            </w:pPr>
            <w:r w:rsidRPr="0088630C">
              <w:rPr>
                <w:b/>
              </w:rPr>
              <w:t>Oncology and palliative care recovery</w:t>
            </w:r>
          </w:p>
        </w:tc>
        <w:tc>
          <w:tcPr>
            <w:tcW w:w="1572" w:type="dxa"/>
            <w:shd w:val="clear" w:color="auto" w:fill="auto"/>
          </w:tcPr>
          <w:p w:rsidR="0088630C" w:rsidRPr="00AB6940" w:rsidRDefault="0088630C" w:rsidP="00E155DA">
            <w:pPr>
              <w:rPr>
                <w:rFonts w:asciiTheme="majorHAnsi" w:hAnsiTheme="majorHAnsi"/>
                <w:b/>
              </w:rPr>
            </w:pPr>
            <w:r>
              <w:rPr>
                <w:rFonts w:asciiTheme="majorHAnsi" w:hAnsiTheme="majorHAnsi"/>
                <w:b/>
              </w:rPr>
              <w:t>RE1314</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080D26">
              <w:rPr>
                <w:rFonts w:asciiTheme="majorHAnsi" w:hAnsiTheme="majorHAnsi"/>
                <w:b/>
                <w:noProof/>
              </w:rPr>
              <w:t xml:space="preserve">Associate Professor </w:t>
            </w:r>
            <w:r w:rsidR="00CE5CF8" w:rsidRPr="00B57069">
              <w:rPr>
                <w:rFonts w:asciiTheme="majorHAnsi" w:hAnsiTheme="majorHAnsi"/>
                <w:b/>
                <w:noProof/>
              </w:rPr>
              <w:t>Cristina Tărniceriu</w:t>
            </w:r>
            <w:r w:rsidRPr="007334F1">
              <w:rPr>
                <w:rFonts w:asciiTheme="majorHAnsi" w:hAnsiTheme="majorHAnsi"/>
                <w:b/>
              </w:rPr>
              <w:fldChar w:fldCharType="end"/>
            </w:r>
            <w:r w:rsidR="00080D26">
              <w:rPr>
                <w:rFonts w:asciiTheme="majorHAnsi" w:hAnsiTheme="majorHAnsi"/>
                <w:b/>
              </w:rPr>
              <w:t>, MD,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080D26"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 xml:space="preserve">Associate Professor </w:t>
            </w:r>
            <w:r w:rsidRPr="00B57069">
              <w:rPr>
                <w:rFonts w:asciiTheme="majorHAnsi" w:hAnsiTheme="majorHAnsi"/>
                <w:b/>
                <w:noProof/>
              </w:rPr>
              <w:t>Cristina Tărniceriu</w:t>
            </w:r>
            <w:r w:rsidRPr="007334F1">
              <w:rPr>
                <w:rFonts w:asciiTheme="majorHAnsi" w:hAnsiTheme="majorHAnsi"/>
                <w:b/>
              </w:rPr>
              <w:fldChar w:fldCharType="end"/>
            </w:r>
            <w:r>
              <w:rPr>
                <w:rFonts w:asciiTheme="majorHAnsi" w:hAnsiTheme="majorHAnsi"/>
                <w:b/>
              </w:rPr>
              <w:t>, MD,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CE5CF8"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CE5CF8"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CE5CF8" w:rsidRPr="00B57069">
              <w:rPr>
                <w:rFonts w:asciiTheme="majorHAnsi" w:hAnsiTheme="majorHAnsi"/>
                <w:b/>
                <w:noProof/>
              </w:rPr>
              <w:t>Exam, E2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CE5CF8"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CE5CF8" w:rsidRPr="00B57069">
              <w:rPr>
                <w:rFonts w:asciiTheme="majorHAnsi" w:hAnsiTheme="majorHAnsi" w:cs="TimesNewRoman"/>
                <w:b/>
                <w:noProof/>
                <w:lang w:bidi="ne-NP"/>
              </w:rPr>
              <w:t>Domain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t>2</w: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3C4FD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CE5CF8"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CE5CF8"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3C4FDC" w:rsidRPr="003C4FDC" w:rsidRDefault="003C4FDC" w:rsidP="003C4FDC">
            <w:pPr>
              <w:autoSpaceDE w:val="0"/>
              <w:autoSpaceDN w:val="0"/>
              <w:adjustRightInd w:val="0"/>
              <w:jc w:val="both"/>
              <w:rPr>
                <w:rFonts w:asciiTheme="majorHAnsi" w:hAnsiTheme="majorHAnsi" w:cs="TimesNewRoman,Bold"/>
                <w:szCs w:val="20"/>
                <w:lang w:bidi="ne-NP"/>
              </w:rPr>
            </w:pPr>
            <w:r w:rsidRPr="003C4FDC">
              <w:rPr>
                <w:rFonts w:asciiTheme="majorHAnsi" w:hAnsiTheme="majorHAnsi" w:cs="TimesNewRoman,Bold"/>
                <w:szCs w:val="20"/>
                <w:lang w:bidi="ne-NP"/>
              </w:rPr>
              <w:t>Anatomy, Physiology, Physics, Biochemistry, Biomedical instrumentation for recovery</w:t>
            </w:r>
          </w:p>
          <w:p w:rsidR="00CF6B2D" w:rsidRPr="008C0CCD" w:rsidRDefault="00CF6B2D" w:rsidP="003C4FDC">
            <w:pPr>
              <w:autoSpaceDE w:val="0"/>
              <w:autoSpaceDN w:val="0"/>
              <w:adjustRightInd w:val="0"/>
              <w:jc w:val="both"/>
              <w:rPr>
                <w:rFonts w:asciiTheme="majorHAnsi" w:hAnsiTheme="majorHAnsi" w:cs="TimesNewRoman,Bold"/>
                <w:szCs w:val="20"/>
                <w:lang w:bidi="ne-NP"/>
              </w:rPr>
            </w:pP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3C4FDC" w:rsidP="00C71699">
            <w:pPr>
              <w:autoSpaceDE w:val="0"/>
              <w:autoSpaceDN w:val="0"/>
              <w:adjustRightInd w:val="0"/>
              <w:jc w:val="both"/>
              <w:rPr>
                <w:rFonts w:asciiTheme="majorHAnsi" w:hAnsiTheme="majorHAnsi" w:cs="TimesNewRoman,Bold"/>
                <w:szCs w:val="20"/>
                <w:lang w:bidi="ne-NP"/>
              </w:rPr>
            </w:pPr>
            <w:r w:rsidRPr="003C4FDC">
              <w:rPr>
                <w:rFonts w:asciiTheme="majorHAnsi" w:hAnsiTheme="majorHAnsi" w:cs="TimesNewRoman,Bold"/>
                <w:szCs w:val="20"/>
                <w:lang w:bidi="ne-NP"/>
              </w:rPr>
              <w:t>Knowledge of fundamental concepts, theories and concepts of physiological and pathological mechanisms of the body, symptoms and clinical signs.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3C4FDC" w:rsidP="008E0432">
            <w:pPr>
              <w:autoSpaceDE w:val="0"/>
              <w:autoSpaceDN w:val="0"/>
              <w:adjustRightInd w:val="0"/>
              <w:rPr>
                <w:rFonts w:asciiTheme="majorHAnsi" w:hAnsiTheme="majorHAnsi" w:cs="TimesNewRoman,Bold"/>
                <w:bCs/>
                <w:szCs w:val="20"/>
                <w:lang w:bidi="ne-NP"/>
              </w:rPr>
            </w:pPr>
            <w:r w:rsidRPr="003D31B1">
              <w:t>video logistics</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3C4FDC" w:rsidP="008E0432">
            <w:pPr>
              <w:autoSpaceDE w:val="0"/>
              <w:autoSpaceDN w:val="0"/>
              <w:adjustRightInd w:val="0"/>
              <w:jc w:val="both"/>
              <w:rPr>
                <w:rFonts w:asciiTheme="majorHAnsi" w:hAnsiTheme="majorHAnsi" w:cs="TimesNewRoman,Bold"/>
                <w:bCs/>
                <w:szCs w:val="20"/>
                <w:lang w:bidi="ne-NP"/>
              </w:rPr>
            </w:pPr>
            <w:r w:rsidRPr="003C4FDC">
              <w:rPr>
                <w:rFonts w:asciiTheme="majorHAnsi" w:hAnsiTheme="majorHAnsi" w:cs="TimesNewRoman,Bold"/>
                <w:bCs/>
                <w:szCs w:val="20"/>
                <w:lang w:bidi="ne-NP"/>
              </w:rPr>
              <w:t>Students will wear a protective gown</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3C4FDC"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3.5</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3C4FDC" w:rsidRDefault="003C4FDC" w:rsidP="00A808E1">
            <w:pPr>
              <w:pStyle w:val="Default"/>
              <w:rPr>
                <w:rFonts w:asciiTheme="majorHAnsi" w:hAnsiTheme="majorHAnsi" w:cs="TimesNewRoman,Bold"/>
                <w:bCs/>
                <w:sz w:val="20"/>
                <w:szCs w:val="20"/>
                <w:lang w:val="ro-RO" w:bidi="ne-NP"/>
              </w:rPr>
            </w:pPr>
            <w:r w:rsidRPr="003C4FDC">
              <w:rPr>
                <w:rFonts w:asciiTheme="majorHAnsi" w:hAnsiTheme="majorHAnsi" w:cs="TimesNewRoman,Bold"/>
                <w:bCs/>
                <w:sz w:val="20"/>
                <w:szCs w:val="20"/>
                <w:lang w:val="ro-RO" w:bidi="ne-NP"/>
              </w:rPr>
              <w:t>Development and elaboration of new hydrothermotherapy protocols used in rehabilitation and palliative medicine</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3C4FDC"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4.5</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3C4FDC" w:rsidRDefault="003C4FDC" w:rsidP="00A808E1">
            <w:pPr>
              <w:pStyle w:val="Default"/>
              <w:rPr>
                <w:rFonts w:asciiTheme="majorHAnsi" w:hAnsiTheme="majorHAnsi" w:cs="TimesNewRoman,Bold"/>
                <w:bCs/>
                <w:sz w:val="20"/>
                <w:szCs w:val="20"/>
                <w:lang w:val="ro-RO" w:bidi="ne-NP"/>
              </w:rPr>
            </w:pPr>
            <w:r w:rsidRPr="003C4FDC">
              <w:rPr>
                <w:rFonts w:asciiTheme="majorHAnsi" w:hAnsiTheme="majorHAnsi" w:cs="TimesNewRoman,Bold"/>
                <w:bCs/>
                <w:sz w:val="20"/>
                <w:szCs w:val="20"/>
                <w:lang w:val="ro-RO" w:bidi="ne-NP"/>
              </w:rPr>
              <w:t>Implementation of different strategies for the development of new electrotherapy protocols used in rehabilitation and palliative medicine</w:t>
            </w:r>
          </w:p>
        </w:tc>
      </w:tr>
    </w:tbl>
    <w:p w:rsidR="00CF6B2D" w:rsidRPr="008C0CCD" w:rsidRDefault="00CF6B2D" w:rsidP="00080D26">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3C4FDC" w:rsidP="00BF064D">
            <w:pPr>
              <w:autoSpaceDE w:val="0"/>
              <w:autoSpaceDN w:val="0"/>
              <w:adjustRightInd w:val="0"/>
              <w:jc w:val="both"/>
              <w:rPr>
                <w:rFonts w:asciiTheme="majorHAnsi" w:hAnsiTheme="majorHAnsi"/>
                <w:szCs w:val="20"/>
              </w:rPr>
            </w:pPr>
            <w:r w:rsidRPr="003C4FDC">
              <w:rPr>
                <w:rFonts w:asciiTheme="majorHAnsi" w:hAnsiTheme="majorHAnsi"/>
                <w:szCs w:val="20"/>
              </w:rPr>
              <w:t>Knowledge, by students, of the possibilities of functional re-education, the methodology and limitations of rehabilitation medicine, considering that it can be a useful tool for the rehabilitation of functional and organic deficits.</w:t>
            </w:r>
          </w:p>
        </w:tc>
      </w:tr>
      <w:tr w:rsidR="003C4FDC" w:rsidRPr="008C0CCD" w:rsidTr="00910019">
        <w:tc>
          <w:tcPr>
            <w:tcW w:w="2358" w:type="dxa"/>
            <w:shd w:val="clear" w:color="auto" w:fill="F2F2F2" w:themeFill="background1" w:themeFillShade="F2"/>
            <w:vAlign w:val="center"/>
          </w:tcPr>
          <w:p w:rsidR="003C4FDC" w:rsidRPr="008C0CCD" w:rsidRDefault="003C4FDC"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shd w:val="clear" w:color="auto" w:fill="auto"/>
          </w:tcPr>
          <w:p w:rsidR="003C4FDC" w:rsidRPr="003D31B1" w:rsidRDefault="003C4FDC" w:rsidP="00113DDA">
            <w:pPr>
              <w:spacing w:line="276" w:lineRule="auto"/>
              <w:jc w:val="both"/>
              <w:rPr>
                <w:bCs/>
                <w:szCs w:val="20"/>
              </w:rPr>
            </w:pPr>
            <w:r w:rsidRPr="003D31B1">
              <w:rPr>
                <w:szCs w:val="20"/>
              </w:rPr>
              <w:t>Knowledge of standards applicable to oncology and palliative care recovery Capacity to work together, to consult the literature and organize collaborations for the joint design of the proposed themes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3C4FDC">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284460" w:rsidRPr="00F67D3D" w:rsidRDefault="00284460" w:rsidP="00284460">
            <w:pPr>
              <w:shd w:val="clear" w:color="auto" w:fill="FFFFFF"/>
              <w:spacing w:line="240" w:lineRule="auto"/>
              <w:outlineLvl w:val="2"/>
              <w:rPr>
                <w:rFonts w:cs="Arial"/>
                <w:bCs/>
                <w:szCs w:val="20"/>
                <w:lang w:eastAsia="ro-RO"/>
              </w:rPr>
            </w:pPr>
            <w:r w:rsidRPr="00F67D3D">
              <w:rPr>
                <w:rFonts w:cs="Arial"/>
                <w:bCs/>
                <w:szCs w:val="20"/>
                <w:lang w:eastAsia="ro-RO"/>
              </w:rPr>
              <w:t>Need for physical therapy in palliative care</w:t>
            </w:r>
          </w:p>
          <w:p w:rsidR="00284460" w:rsidRPr="00F67D3D" w:rsidRDefault="00284460" w:rsidP="00113DDA">
            <w:pPr>
              <w:spacing w:line="240" w:lineRule="auto"/>
              <w:rPr>
                <w:bCs/>
                <w:szCs w:val="20"/>
              </w:rPr>
            </w:pPr>
          </w:p>
        </w:tc>
        <w:tc>
          <w:tcPr>
            <w:tcW w:w="1995" w:type="dxa"/>
            <w:vMerge w:val="restart"/>
            <w:shd w:val="clear" w:color="auto" w:fill="auto"/>
          </w:tcPr>
          <w:p w:rsidR="00284460" w:rsidRPr="003D31B1" w:rsidRDefault="00284460" w:rsidP="00113DDA">
            <w:pPr>
              <w:spacing w:line="276" w:lineRule="auto"/>
              <w:rPr>
                <w:bCs/>
                <w:szCs w:val="20"/>
              </w:rPr>
            </w:pPr>
            <w:r w:rsidRPr="003D31B1">
              <w:rPr>
                <w:szCs w:val="20"/>
              </w:rPr>
              <w:t>Interactive PowerPoint presentation, multimedia, case discussion</w:t>
            </w: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 xml:space="preserve">Electrophysical agents </w:t>
            </w:r>
            <w:r w:rsidRPr="00F67D3D">
              <w:rPr>
                <w:rFonts w:cs="Arial"/>
                <w:szCs w:val="20"/>
              </w:rPr>
              <w:t>in patients with cancer</w:t>
            </w:r>
          </w:p>
          <w:p w:rsidR="00284460" w:rsidRPr="00F67D3D" w:rsidRDefault="00284460" w:rsidP="00113DDA">
            <w:pPr>
              <w:pStyle w:val="ListParagraph1"/>
              <w:spacing w:line="240" w:lineRule="auto"/>
              <w:ind w:left="0"/>
              <w:jc w:val="both"/>
              <w:rPr>
                <w:szCs w:val="20"/>
              </w:rPr>
            </w:pP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 xml:space="preserve">Kinetotherapy </w:t>
            </w:r>
            <w:r w:rsidRPr="00F67D3D">
              <w:rPr>
                <w:rFonts w:cs="Arial"/>
                <w:szCs w:val="20"/>
              </w:rPr>
              <w:t>in patients with cancer</w:t>
            </w:r>
          </w:p>
          <w:p w:rsidR="00284460" w:rsidRPr="00F67D3D" w:rsidRDefault="00284460" w:rsidP="00113DDA">
            <w:pPr>
              <w:pStyle w:val="ListParagraph1"/>
              <w:spacing w:line="240" w:lineRule="auto"/>
              <w:ind w:left="0"/>
              <w:jc w:val="both"/>
              <w:rPr>
                <w:szCs w:val="20"/>
              </w:rPr>
            </w:pP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 xml:space="preserve">Physical  therapy </w:t>
            </w:r>
            <w:r w:rsidRPr="00F67D3D">
              <w:rPr>
                <w:rFonts w:cs="Arial"/>
                <w:szCs w:val="20"/>
              </w:rPr>
              <w:t>in musculoskeletal disorders in patients with cancer</w:t>
            </w: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 xml:space="preserve">Physical  therapy </w:t>
            </w:r>
            <w:r w:rsidRPr="00F67D3D">
              <w:rPr>
                <w:rFonts w:cs="Arial"/>
                <w:szCs w:val="20"/>
              </w:rPr>
              <w:t xml:space="preserve">in </w:t>
            </w:r>
            <w:r w:rsidRPr="00F67D3D">
              <w:rPr>
                <w:szCs w:val="20"/>
                <w:shd w:val="clear" w:color="auto" w:fill="FFFFFF"/>
              </w:rPr>
              <w:t xml:space="preserve">neurological </w:t>
            </w:r>
            <w:r w:rsidRPr="00F67D3D">
              <w:rPr>
                <w:rFonts w:cs="Arial"/>
                <w:szCs w:val="20"/>
              </w:rPr>
              <w:t>disorders</w:t>
            </w:r>
            <w:r w:rsidRPr="00F67D3D">
              <w:rPr>
                <w:szCs w:val="20"/>
                <w:shd w:val="clear" w:color="auto" w:fill="FFFFFF"/>
              </w:rPr>
              <w:t xml:space="preserve"> </w:t>
            </w:r>
            <w:r w:rsidRPr="00F67D3D">
              <w:rPr>
                <w:rFonts w:cs="Arial"/>
                <w:szCs w:val="20"/>
              </w:rPr>
              <w:t>in patients with cancer</w:t>
            </w: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 xml:space="preserve">Physical  therapy </w:t>
            </w:r>
            <w:r w:rsidRPr="00F67D3D">
              <w:rPr>
                <w:rFonts w:cs="Arial"/>
                <w:szCs w:val="20"/>
              </w:rPr>
              <w:t xml:space="preserve">in </w:t>
            </w:r>
            <w:r w:rsidRPr="00F67D3D">
              <w:rPr>
                <w:szCs w:val="20"/>
                <w:shd w:val="clear" w:color="auto" w:fill="FFFFFF"/>
              </w:rPr>
              <w:t xml:space="preserve">respiratory </w:t>
            </w:r>
            <w:r w:rsidRPr="00F67D3D">
              <w:rPr>
                <w:rFonts w:cs="Arial"/>
                <w:szCs w:val="20"/>
              </w:rPr>
              <w:t>disorders</w:t>
            </w:r>
            <w:r w:rsidRPr="00F67D3D">
              <w:rPr>
                <w:szCs w:val="20"/>
                <w:shd w:val="clear" w:color="auto" w:fill="FFFFFF"/>
              </w:rPr>
              <w:t xml:space="preserve"> </w:t>
            </w:r>
            <w:r w:rsidRPr="00F67D3D">
              <w:rPr>
                <w:rFonts w:cs="Arial"/>
                <w:szCs w:val="20"/>
              </w:rPr>
              <w:t>in patients with cancer</w:t>
            </w: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r w:rsidR="00284460" w:rsidRPr="008C0CCD" w:rsidTr="003C4FDC">
        <w:tc>
          <w:tcPr>
            <w:tcW w:w="451" w:type="dxa"/>
            <w:shd w:val="clear" w:color="auto" w:fill="auto"/>
            <w:vAlign w:val="center"/>
          </w:tcPr>
          <w:p w:rsidR="00284460" w:rsidRPr="00730232" w:rsidRDefault="00284460"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284460" w:rsidRPr="00F67D3D" w:rsidRDefault="00284460" w:rsidP="00284460">
            <w:pPr>
              <w:spacing w:line="240" w:lineRule="auto"/>
              <w:rPr>
                <w:szCs w:val="20"/>
                <w:shd w:val="clear" w:color="auto" w:fill="FFFFFF"/>
              </w:rPr>
            </w:pPr>
            <w:r w:rsidRPr="00F67D3D">
              <w:rPr>
                <w:szCs w:val="20"/>
                <w:shd w:val="clear" w:color="auto" w:fill="FFFFFF"/>
              </w:rPr>
              <w:t>Decongestive physiotherapy</w:t>
            </w:r>
            <w:r w:rsidRPr="00F67D3D">
              <w:rPr>
                <w:rFonts w:cs="Arial"/>
                <w:szCs w:val="20"/>
              </w:rPr>
              <w:t xml:space="preserve"> in patients with cancer</w:t>
            </w:r>
          </w:p>
        </w:tc>
        <w:tc>
          <w:tcPr>
            <w:tcW w:w="1995" w:type="dxa"/>
            <w:vMerge/>
            <w:shd w:val="clear" w:color="auto" w:fill="auto"/>
          </w:tcPr>
          <w:p w:rsidR="00284460" w:rsidRPr="003D31B1" w:rsidRDefault="00284460" w:rsidP="00113DDA">
            <w:pPr>
              <w:spacing w:line="276" w:lineRule="auto"/>
              <w:rPr>
                <w:bCs/>
                <w:szCs w:val="20"/>
              </w:rPr>
            </w:pPr>
          </w:p>
        </w:tc>
        <w:tc>
          <w:tcPr>
            <w:tcW w:w="1428" w:type="dxa"/>
            <w:shd w:val="clear" w:color="auto" w:fill="auto"/>
          </w:tcPr>
          <w:p w:rsidR="00284460" w:rsidRPr="003D31B1" w:rsidRDefault="00284460" w:rsidP="00113DDA">
            <w:pPr>
              <w:spacing w:line="276" w:lineRule="auto"/>
              <w:jc w:val="center"/>
              <w:rPr>
                <w:bCs/>
              </w:rPr>
            </w:pPr>
            <w:r w:rsidRPr="003D31B1">
              <w:rPr>
                <w:bCs/>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3C4FDC">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CE5CF8"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rsidR="00284460" w:rsidRPr="00F67D3D" w:rsidRDefault="00284460" w:rsidP="003C4FDC">
            <w:pPr>
              <w:shd w:val="clear" w:color="auto" w:fill="FFFFFF"/>
              <w:spacing w:line="240" w:lineRule="auto"/>
              <w:outlineLvl w:val="2"/>
              <w:rPr>
                <w:rFonts w:cs="Arial"/>
                <w:bCs/>
                <w:szCs w:val="20"/>
                <w:lang w:eastAsia="ro-RO"/>
              </w:rPr>
            </w:pPr>
            <w:bookmarkStart w:id="0" w:name="_GoBack"/>
            <w:bookmarkEnd w:id="0"/>
            <w:r w:rsidRPr="00F67D3D">
              <w:rPr>
                <w:rFonts w:cs="Arial"/>
                <w:color w:val="303030"/>
                <w:szCs w:val="20"/>
                <w:shd w:val="clear" w:color="auto" w:fill="FFFFFF"/>
                <w:lang w:eastAsia="ro-RO"/>
              </w:rPr>
              <w:t>Understanding</w:t>
            </w:r>
            <w:r w:rsidRPr="00F67D3D">
              <w:rPr>
                <w:rFonts w:cs="Arial"/>
                <w:bCs/>
                <w:szCs w:val="20"/>
                <w:lang w:eastAsia="ro-RO"/>
              </w:rPr>
              <w:t xml:space="preserve"> physical therapy in palliative care</w:t>
            </w:r>
            <w:r w:rsidRPr="00F67D3D">
              <w:rPr>
                <w:rFonts w:cs="Arial"/>
                <w:szCs w:val="20"/>
              </w:rPr>
              <w:t xml:space="preserve"> in patients with cancer</w:t>
            </w:r>
          </w:p>
        </w:tc>
        <w:tc>
          <w:tcPr>
            <w:tcW w:w="1994" w:type="dxa"/>
            <w:vMerge w:val="restart"/>
            <w:shd w:val="clear" w:color="auto" w:fill="auto"/>
          </w:tcPr>
          <w:p w:rsidR="00284460" w:rsidRPr="00F67D3D" w:rsidRDefault="00284460" w:rsidP="00113DDA">
            <w:pPr>
              <w:spacing w:line="240" w:lineRule="auto"/>
              <w:rPr>
                <w:bCs/>
                <w:szCs w:val="20"/>
              </w:rPr>
            </w:pPr>
            <w:r w:rsidRPr="00F67D3D">
              <w:rPr>
                <w:szCs w:val="20"/>
              </w:rPr>
              <w:t>Paper presentation, discussion conclusions.</w:t>
            </w: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 xml:space="preserve">Electrophysical methods </w:t>
            </w:r>
            <w:r w:rsidRPr="00F67D3D">
              <w:rPr>
                <w:rFonts w:cs="Arial"/>
                <w:szCs w:val="20"/>
              </w:rPr>
              <w:t>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 xml:space="preserve">Kinetotherapy methods </w:t>
            </w:r>
            <w:r w:rsidRPr="00F67D3D">
              <w:rPr>
                <w:rFonts w:cs="Arial"/>
                <w:szCs w:val="20"/>
              </w:rPr>
              <w:t>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 xml:space="preserve">Exercises </w:t>
            </w:r>
            <w:r w:rsidRPr="00F67D3D">
              <w:rPr>
                <w:rFonts w:cs="Arial"/>
                <w:szCs w:val="20"/>
              </w:rPr>
              <w:t>in musculoskeletal disorders 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 xml:space="preserve">Exercises </w:t>
            </w:r>
            <w:r w:rsidRPr="00F67D3D">
              <w:rPr>
                <w:rFonts w:cs="Arial"/>
                <w:szCs w:val="20"/>
              </w:rPr>
              <w:t xml:space="preserve">in </w:t>
            </w:r>
            <w:r w:rsidRPr="00F67D3D">
              <w:rPr>
                <w:szCs w:val="20"/>
                <w:shd w:val="clear" w:color="auto" w:fill="FFFFFF"/>
              </w:rPr>
              <w:t xml:space="preserve">neurological </w:t>
            </w:r>
            <w:r w:rsidRPr="00F67D3D">
              <w:rPr>
                <w:rFonts w:cs="Arial"/>
                <w:szCs w:val="20"/>
              </w:rPr>
              <w:t>disorders</w:t>
            </w:r>
            <w:r w:rsidRPr="00F67D3D">
              <w:rPr>
                <w:szCs w:val="20"/>
                <w:shd w:val="clear" w:color="auto" w:fill="FFFFFF"/>
              </w:rPr>
              <w:t xml:space="preserve"> </w:t>
            </w:r>
            <w:r w:rsidRPr="00F67D3D">
              <w:rPr>
                <w:rFonts w:cs="Arial"/>
                <w:szCs w:val="20"/>
              </w:rPr>
              <w:t>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 xml:space="preserve">Exercises </w:t>
            </w:r>
            <w:r w:rsidRPr="00F67D3D">
              <w:rPr>
                <w:rFonts w:cs="Arial"/>
                <w:szCs w:val="20"/>
              </w:rPr>
              <w:t xml:space="preserve">in </w:t>
            </w:r>
            <w:r w:rsidRPr="00F67D3D">
              <w:rPr>
                <w:szCs w:val="20"/>
                <w:shd w:val="clear" w:color="auto" w:fill="FFFFFF"/>
              </w:rPr>
              <w:t xml:space="preserve">respiratory </w:t>
            </w:r>
            <w:r w:rsidRPr="00F67D3D">
              <w:rPr>
                <w:rFonts w:cs="Arial"/>
                <w:szCs w:val="20"/>
              </w:rPr>
              <w:t>disorders</w:t>
            </w:r>
            <w:r w:rsidRPr="00F67D3D">
              <w:rPr>
                <w:szCs w:val="20"/>
                <w:shd w:val="clear" w:color="auto" w:fill="FFFFFF"/>
              </w:rPr>
              <w:t xml:space="preserve"> </w:t>
            </w:r>
            <w:r w:rsidRPr="00F67D3D">
              <w:rPr>
                <w:rFonts w:cs="Arial"/>
                <w:szCs w:val="20"/>
              </w:rPr>
              <w:t>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r w:rsidR="00284460" w:rsidRPr="00730232" w:rsidTr="003C4FDC">
        <w:tc>
          <w:tcPr>
            <w:tcW w:w="451" w:type="dxa"/>
            <w:shd w:val="clear" w:color="auto" w:fill="auto"/>
            <w:vAlign w:val="center"/>
          </w:tcPr>
          <w:p w:rsidR="00284460" w:rsidRPr="00730232" w:rsidRDefault="00284460"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4" w:type="dxa"/>
            <w:shd w:val="clear" w:color="auto" w:fill="auto"/>
          </w:tcPr>
          <w:p w:rsidR="00284460" w:rsidRPr="00F67D3D" w:rsidRDefault="00284460" w:rsidP="003C4FDC">
            <w:pPr>
              <w:spacing w:line="240" w:lineRule="auto"/>
              <w:rPr>
                <w:szCs w:val="20"/>
                <w:shd w:val="clear" w:color="auto" w:fill="FFFFFF"/>
              </w:rPr>
            </w:pPr>
            <w:r w:rsidRPr="00F67D3D">
              <w:rPr>
                <w:szCs w:val="20"/>
                <w:shd w:val="clear" w:color="auto" w:fill="FFFFFF"/>
              </w:rPr>
              <w:t>Decongestive physiotherapy</w:t>
            </w:r>
            <w:r w:rsidRPr="00F67D3D">
              <w:rPr>
                <w:rFonts w:cs="Arial"/>
                <w:szCs w:val="20"/>
              </w:rPr>
              <w:t xml:space="preserve"> methods in patients with cancer</w:t>
            </w:r>
          </w:p>
        </w:tc>
        <w:tc>
          <w:tcPr>
            <w:tcW w:w="1994" w:type="dxa"/>
            <w:vMerge/>
            <w:shd w:val="clear" w:color="auto" w:fill="auto"/>
          </w:tcPr>
          <w:p w:rsidR="00284460" w:rsidRPr="00F67D3D" w:rsidRDefault="00284460" w:rsidP="00113DDA">
            <w:pPr>
              <w:spacing w:line="240" w:lineRule="auto"/>
              <w:rPr>
                <w:bCs/>
                <w:szCs w:val="20"/>
              </w:rPr>
            </w:pPr>
          </w:p>
        </w:tc>
        <w:tc>
          <w:tcPr>
            <w:tcW w:w="1428" w:type="dxa"/>
            <w:shd w:val="clear" w:color="auto" w:fill="auto"/>
          </w:tcPr>
          <w:p w:rsidR="00284460" w:rsidRPr="003D31B1" w:rsidRDefault="00284460" w:rsidP="00113DDA">
            <w:pPr>
              <w:spacing w:line="240" w:lineRule="auto"/>
              <w:jc w:val="center"/>
              <w:rPr>
                <w:bCs/>
                <w:szCs w:val="20"/>
              </w:rPr>
            </w:pPr>
            <w:r w:rsidRPr="003D31B1">
              <w:rPr>
                <w:bCs/>
                <w:szCs w:val="20"/>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3C4FDC"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lastRenderedPageBreak/>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p w:rsidR="00080D26" w:rsidRPr="00080D26" w:rsidRDefault="00080D26" w:rsidP="00080D26">
            <w:pPr>
              <w:pStyle w:val="ListParagraph"/>
              <w:numPr>
                <w:ilvl w:val="0"/>
                <w:numId w:val="8"/>
              </w:numPr>
              <w:autoSpaceDE w:val="0"/>
              <w:autoSpaceDN w:val="0"/>
              <w:adjustRightInd w:val="0"/>
              <w:rPr>
                <w:rFonts w:asciiTheme="majorHAnsi" w:hAnsiTheme="majorHAnsi" w:cs="TimesNewRoman,Bold"/>
                <w:bCs/>
                <w:szCs w:val="20"/>
                <w:lang w:bidi="ne-NP"/>
              </w:rPr>
            </w:pPr>
            <w:r w:rsidRPr="00080D26">
              <w:rPr>
                <w:rFonts w:asciiTheme="majorHAnsi" w:hAnsiTheme="majorHAnsi" w:cs="TimesNewRoman,Bold"/>
                <w:bCs/>
                <w:szCs w:val="20"/>
                <w:lang w:bidi="ne-NP"/>
              </w:rPr>
              <w:t>Course and practical work from e-Learning platform</w:t>
            </w:r>
          </w:p>
        </w:tc>
      </w:tr>
      <w:tr w:rsidR="00830AAE" w:rsidTr="002326CD">
        <w:tc>
          <w:tcPr>
            <w:tcW w:w="10044" w:type="dxa"/>
          </w:tcPr>
          <w:p w:rsidR="00080D26" w:rsidRDefault="00080D26" w:rsidP="00080D26">
            <w:pPr>
              <w:numPr>
                <w:ilvl w:val="0"/>
                <w:numId w:val="8"/>
              </w:numPr>
              <w:spacing w:line="240" w:lineRule="auto"/>
              <w:rPr>
                <w:rFonts w:cs="Arial"/>
                <w:iCs/>
                <w:color w:val="303030"/>
                <w:szCs w:val="20"/>
                <w:lang w:eastAsia="ro-RO"/>
              </w:rPr>
            </w:pPr>
            <w:r w:rsidRPr="00F67D3D">
              <w:rPr>
                <w:rFonts w:cs="Arial"/>
                <w:iCs/>
                <w:color w:val="303030"/>
                <w:szCs w:val="20"/>
                <w:lang w:eastAsia="ro-RO"/>
              </w:rPr>
              <w:t xml:space="preserve">Keays KS, Harris SR, Lucyshyn JM, MacIntyre DL - </w:t>
            </w:r>
            <w:r w:rsidRPr="00F67D3D">
              <w:rPr>
                <w:rFonts w:cs="Arial"/>
                <w:color w:val="303030"/>
                <w:szCs w:val="20"/>
                <w:shd w:val="clear" w:color="auto" w:fill="FFFFFF"/>
                <w:lang w:eastAsia="ro-RO"/>
              </w:rPr>
              <w:t xml:space="preserve">Effects of Pilates exercises on shoulder range of motion, pain, mood, and upper-extremity function in women living with breast cancer: a pilot study - </w:t>
            </w:r>
            <w:r w:rsidRPr="00F67D3D">
              <w:rPr>
                <w:rFonts w:cs="Arial"/>
                <w:iCs/>
                <w:color w:val="303030"/>
                <w:szCs w:val="20"/>
                <w:lang w:eastAsia="ro-RO"/>
              </w:rPr>
              <w:t>Phys Ther. 2008 Apr; 88(4):494-510.</w:t>
            </w:r>
          </w:p>
          <w:p w:rsidR="00080D26" w:rsidRDefault="00080D26" w:rsidP="00080D26">
            <w:pPr>
              <w:numPr>
                <w:ilvl w:val="0"/>
                <w:numId w:val="8"/>
              </w:numPr>
              <w:spacing w:line="240" w:lineRule="auto"/>
              <w:rPr>
                <w:rFonts w:cs="Arial"/>
                <w:iCs/>
                <w:color w:val="303030"/>
                <w:szCs w:val="20"/>
                <w:lang w:eastAsia="ro-RO"/>
              </w:rPr>
            </w:pPr>
            <w:r>
              <w:rPr>
                <w:rFonts w:asciiTheme="majorHAnsi" w:eastAsia="Calibri" w:hAnsiTheme="majorHAnsi" w:cs="Arial"/>
                <w:szCs w:val="20"/>
              </w:rPr>
              <w:t>Vladimir Poroch, Daniela Moşoiu, Ostin C. Mungiu</w:t>
            </w:r>
            <w:r w:rsidRPr="00080D26">
              <w:rPr>
                <w:rFonts w:asciiTheme="majorHAnsi" w:eastAsia="Calibri" w:hAnsiTheme="majorHAnsi" w:cs="Arial"/>
                <w:szCs w:val="20"/>
              </w:rPr>
              <w:t xml:space="preserve">, </w:t>
            </w:r>
            <w:hyperlink r:id="rId12" w:history="1">
              <w:r w:rsidRPr="00080D26">
                <w:rPr>
                  <w:rStyle w:val="Hyperlink"/>
                  <w:rFonts w:asciiTheme="majorHAnsi" w:eastAsia="Calibri" w:hAnsiTheme="majorHAnsi" w:cs="Arial"/>
                  <w:color w:val="auto"/>
                  <w:szCs w:val="20"/>
                  <w:u w:val="none"/>
                </w:rPr>
                <w:t>MANAGEMENTUL DURERII PENTRU PACIENŢII DIN ÎNGRIJIREA PALIATIVĂ – PENTRU MEDICII DE FAMILIE</w:t>
              </w:r>
            </w:hyperlink>
            <w:r>
              <w:rPr>
                <w:rFonts w:asciiTheme="majorHAnsi" w:eastAsia="Calibri" w:hAnsiTheme="majorHAnsi" w:cs="Arial"/>
                <w:szCs w:val="20"/>
              </w:rPr>
              <w:t xml:space="preserve">, Editura „Gr.T.Popa” UMF Iaşi, 2017, 216 pagini, </w:t>
            </w:r>
          </w:p>
          <w:p w:rsidR="00080D26" w:rsidRDefault="00080D26" w:rsidP="00080D26">
            <w:pPr>
              <w:spacing w:line="240" w:lineRule="auto"/>
              <w:ind w:left="720"/>
              <w:rPr>
                <w:rFonts w:asciiTheme="majorHAnsi" w:hAnsiTheme="majorHAnsi" w:cs="Arial"/>
                <w:iCs/>
                <w:szCs w:val="20"/>
                <w:lang w:eastAsia="ro-RO"/>
              </w:rPr>
            </w:pPr>
            <w:r>
              <w:rPr>
                <w:rFonts w:asciiTheme="majorHAnsi" w:eastAsia="Calibri" w:hAnsiTheme="majorHAnsi" w:cs="Arial"/>
                <w:szCs w:val="20"/>
              </w:rPr>
              <w:t xml:space="preserve">ISBN 978-606-544-477-5 </w:t>
            </w:r>
            <w:r>
              <w:rPr>
                <w:rFonts w:asciiTheme="majorHAnsi" w:eastAsia="Calibri" w:hAnsiTheme="majorHAnsi" w:cs="Arial"/>
                <w:b/>
                <w:szCs w:val="20"/>
              </w:rPr>
              <w:t>- editor</w:t>
            </w:r>
          </w:p>
          <w:p w:rsidR="00830AAE" w:rsidRPr="00080D26" w:rsidRDefault="00080D26" w:rsidP="00080D26">
            <w:pPr>
              <w:numPr>
                <w:ilvl w:val="0"/>
                <w:numId w:val="8"/>
              </w:numPr>
              <w:spacing w:line="240" w:lineRule="auto"/>
              <w:rPr>
                <w:rFonts w:cs="Arial"/>
                <w:iCs/>
                <w:color w:val="303030"/>
                <w:szCs w:val="20"/>
                <w:lang w:eastAsia="ro-RO"/>
              </w:rPr>
            </w:pPr>
            <w:r w:rsidRPr="00080D26">
              <w:rPr>
                <w:rFonts w:cs="Arial"/>
                <w:iCs/>
                <w:color w:val="303030"/>
                <w:szCs w:val="20"/>
                <w:lang w:eastAsia="ro-RO"/>
              </w:rPr>
              <w:t xml:space="preserve">Clay CA, Perera S, Wagner JM, Miller ME, Nelson JB, Greenspan SL - </w:t>
            </w:r>
            <w:r w:rsidRPr="00080D26">
              <w:rPr>
                <w:rFonts w:cs="Arial"/>
                <w:color w:val="303030"/>
                <w:szCs w:val="20"/>
                <w:shd w:val="clear" w:color="auto" w:fill="FFFFFF"/>
                <w:lang w:eastAsia="ro-RO"/>
              </w:rPr>
              <w:t xml:space="preserve">Physical function in men with prostate cancer on androgen deprivation therapy - </w:t>
            </w:r>
            <w:r w:rsidRPr="00080D26">
              <w:rPr>
                <w:rFonts w:cs="Arial"/>
                <w:iCs/>
                <w:color w:val="303030"/>
                <w:szCs w:val="20"/>
                <w:lang w:eastAsia="ro-RO"/>
              </w:rPr>
              <w:t>Phys Ther. 2007 Oct; 87(10):1325-33.</w:t>
            </w: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080D26" w:rsidRDefault="009A0835" w:rsidP="00080D26">
            <w:pPr>
              <w:numPr>
                <w:ilvl w:val="0"/>
                <w:numId w:val="10"/>
              </w:numPr>
              <w:spacing w:line="240" w:lineRule="auto"/>
              <w:rPr>
                <w:rFonts w:cs="Arial"/>
                <w:iCs/>
                <w:color w:val="303030"/>
                <w:szCs w:val="20"/>
                <w:lang w:eastAsia="ro-RO"/>
              </w:rPr>
            </w:pPr>
            <w:hyperlink r:id="rId13" w:history="1">
              <w:r w:rsidR="00080D26" w:rsidRPr="00080D26">
                <w:rPr>
                  <w:rStyle w:val="Hyperlink"/>
                  <w:rFonts w:asciiTheme="majorHAnsi" w:eastAsia="Calibri" w:hAnsiTheme="majorHAnsi" w:cs="Arial"/>
                  <w:color w:val="auto"/>
                  <w:szCs w:val="20"/>
                  <w:u w:val="none"/>
                </w:rPr>
                <w:t>TERAPIA DURERII – ASPECTE ACTUALE</w:t>
              </w:r>
            </w:hyperlink>
            <w:r w:rsidR="00080D26">
              <w:rPr>
                <w:rFonts w:asciiTheme="majorHAnsi" w:eastAsia="Calibri" w:hAnsiTheme="majorHAnsi" w:cs="Arial"/>
                <w:szCs w:val="20"/>
              </w:rPr>
              <w:t>, Ed.”Gr.T.Popa” UMF Iaşi, 2014, 280 pagini, ISBN 978-606-544-264-1, sub redacţia Maria-Magdalena Leon, Ostin C. Mungiu; Poroch Vladimir – autor capitol „Managementul durerii în îngrijirea paliativă</w:t>
            </w:r>
          </w:p>
          <w:p w:rsidR="00080D26" w:rsidRDefault="00080D26" w:rsidP="00080D26">
            <w:pPr>
              <w:numPr>
                <w:ilvl w:val="0"/>
                <w:numId w:val="10"/>
              </w:numPr>
              <w:spacing w:line="240" w:lineRule="auto"/>
              <w:rPr>
                <w:rFonts w:cs="Arial"/>
                <w:iCs/>
                <w:color w:val="303030"/>
                <w:szCs w:val="20"/>
                <w:lang w:eastAsia="ro-RO"/>
              </w:rPr>
            </w:pPr>
            <w:r>
              <w:rPr>
                <w:rFonts w:cs="Arial"/>
                <w:iCs/>
                <w:color w:val="303030"/>
                <w:szCs w:val="20"/>
                <w:lang w:eastAsia="ro-RO"/>
              </w:rPr>
              <w:t xml:space="preserve">Keays KS, Harris SR, Lucyshyn JM, MacIntyre DL - </w:t>
            </w:r>
            <w:r>
              <w:rPr>
                <w:rFonts w:cs="Arial"/>
                <w:color w:val="303030"/>
                <w:szCs w:val="20"/>
                <w:shd w:val="clear" w:color="auto" w:fill="FFFFFF"/>
                <w:lang w:eastAsia="ro-RO"/>
              </w:rPr>
              <w:t xml:space="preserve">Effects of Pilates exercises on shoulder range of motion, pain, mood, and upper-extremity function in women living with breast cancer: a pilot study - </w:t>
            </w:r>
            <w:r>
              <w:rPr>
                <w:rFonts w:cs="Arial"/>
                <w:iCs/>
                <w:color w:val="303030"/>
                <w:szCs w:val="20"/>
                <w:lang w:eastAsia="ro-RO"/>
              </w:rPr>
              <w:t>Phys Ther. 2008 Apr; 88(4):494-510.</w:t>
            </w:r>
          </w:p>
          <w:p w:rsidR="00080D26" w:rsidRDefault="00080D26" w:rsidP="00080D26">
            <w:pPr>
              <w:pStyle w:val="ListParagraph"/>
              <w:numPr>
                <w:ilvl w:val="0"/>
                <w:numId w:val="10"/>
              </w:numPr>
              <w:autoSpaceDE w:val="0"/>
              <w:autoSpaceDN w:val="0"/>
              <w:adjustRightInd w:val="0"/>
              <w:rPr>
                <w:rFonts w:cs="TimesNewRoman,Bold"/>
                <w:b/>
                <w:bCs/>
                <w:szCs w:val="20"/>
                <w:lang w:bidi="ne-NP"/>
              </w:rPr>
            </w:pPr>
            <w:r>
              <w:rPr>
                <w:rFonts w:cs="Arial"/>
                <w:iCs/>
                <w:color w:val="303030"/>
                <w:szCs w:val="20"/>
                <w:lang w:eastAsia="ro-RO"/>
              </w:rPr>
              <w:t xml:space="preserve">Clay CA, Perera S, Wagner JM, Miller ME, Nelson JB, Greenspan SL - </w:t>
            </w:r>
            <w:r>
              <w:rPr>
                <w:rFonts w:cs="Arial"/>
                <w:color w:val="303030"/>
                <w:szCs w:val="20"/>
                <w:shd w:val="clear" w:color="auto" w:fill="FFFFFF"/>
                <w:lang w:eastAsia="ro-RO"/>
              </w:rPr>
              <w:t xml:space="preserve">Physical function in men with prostate cancer on androgen deprivation therapy - </w:t>
            </w:r>
            <w:r>
              <w:rPr>
                <w:rFonts w:cs="Arial"/>
                <w:iCs/>
                <w:color w:val="303030"/>
                <w:szCs w:val="20"/>
                <w:lang w:eastAsia="ro-RO"/>
              </w:rPr>
              <w:t>Phys Ther. 2007 Oct; 87(10):1325-33.</w:t>
            </w:r>
          </w:p>
          <w:p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080D26">
        <w:trPr>
          <w:trHeight w:val="651"/>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080D26" w:rsidRDefault="00080D26" w:rsidP="00080D26">
            <w:pPr>
              <w:pStyle w:val="ListParagraph"/>
              <w:numPr>
                <w:ilvl w:val="0"/>
                <w:numId w:val="5"/>
              </w:numPr>
              <w:autoSpaceDE w:val="0"/>
              <w:autoSpaceDN w:val="0"/>
              <w:adjustRightInd w:val="0"/>
              <w:rPr>
                <w:rFonts w:asciiTheme="majorHAnsi" w:hAnsiTheme="majorHAnsi" w:cs="TimesNewRoman"/>
                <w:szCs w:val="20"/>
                <w:lang w:bidi="ne-NP"/>
              </w:rPr>
            </w:pPr>
            <w:r w:rsidRPr="00080D26">
              <w:rPr>
                <w:rFonts w:asciiTheme="majorHAnsi" w:hAnsiTheme="majorHAnsi" w:cs="TimesNewRoman"/>
                <w:szCs w:val="20"/>
                <w:lang w:bidi="ne-NP"/>
              </w:rPr>
              <w:t>Knowledge of neuromotor recovery techniques in cancer patients</w:t>
            </w:r>
          </w:p>
        </w:tc>
      </w:tr>
    </w:tbl>
    <w:p w:rsidR="004D45BC"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88630C"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12.09</w:t>
            </w:r>
            <w:r w:rsidR="00080D26">
              <w:rPr>
                <w:rFonts w:asciiTheme="majorHAnsi" w:hAnsiTheme="majorHAnsi" w:cs="TimesNewRoman"/>
                <w:szCs w:val="20"/>
                <w:lang w:bidi="ne-NP"/>
              </w:rPr>
              <w:t>.2023</w:t>
            </w:r>
          </w:p>
        </w:tc>
        <w:tc>
          <w:tcPr>
            <w:tcW w:w="3870" w:type="dxa"/>
          </w:tcPr>
          <w:p w:rsidR="001C6702" w:rsidRPr="00080D26" w:rsidRDefault="00080D26" w:rsidP="00AB2E3B">
            <w:pPr>
              <w:autoSpaceDE w:val="0"/>
              <w:autoSpaceDN w:val="0"/>
              <w:adjustRightInd w:val="0"/>
              <w:rPr>
                <w:rFonts w:asciiTheme="majorHAnsi" w:hAnsiTheme="majorHAnsi" w:cs="TimesNewRoman"/>
                <w:szCs w:val="20"/>
                <w:lang w:bidi="ne-NP"/>
              </w:rPr>
            </w:pPr>
            <w:r w:rsidRPr="00080D26">
              <w:rPr>
                <w:rFonts w:asciiTheme="majorHAnsi" w:hAnsiTheme="majorHAnsi"/>
              </w:rPr>
              <w:fldChar w:fldCharType="begin"/>
            </w:r>
            <w:r w:rsidRPr="00080D26">
              <w:rPr>
                <w:rFonts w:asciiTheme="majorHAnsi" w:hAnsiTheme="majorHAnsi"/>
              </w:rPr>
              <w:instrText xml:space="preserve"> MERGEFIELD "Titular_curs" </w:instrText>
            </w:r>
            <w:r w:rsidRPr="00080D26">
              <w:rPr>
                <w:rFonts w:asciiTheme="majorHAnsi" w:hAnsiTheme="majorHAnsi"/>
              </w:rPr>
              <w:fldChar w:fldCharType="separate"/>
            </w:r>
            <w:r w:rsidRPr="00080D26">
              <w:rPr>
                <w:rFonts w:asciiTheme="majorHAnsi" w:hAnsiTheme="majorHAnsi"/>
                <w:noProof/>
              </w:rPr>
              <w:t>Associate Professor Cristina Tărniceriu</w:t>
            </w:r>
            <w:r w:rsidRPr="00080D26">
              <w:rPr>
                <w:rFonts w:asciiTheme="majorHAnsi" w:hAnsiTheme="majorHAnsi"/>
              </w:rPr>
              <w:fldChar w:fldCharType="end"/>
            </w:r>
            <w:r w:rsidRPr="00080D26">
              <w:rPr>
                <w:rFonts w:asciiTheme="majorHAnsi" w:hAnsiTheme="majorHAnsi"/>
              </w:rPr>
              <w:t>, MD, PhD</w:t>
            </w:r>
          </w:p>
        </w:tc>
        <w:tc>
          <w:tcPr>
            <w:tcW w:w="4176" w:type="dxa"/>
          </w:tcPr>
          <w:p w:rsidR="001C6702" w:rsidRPr="00080D26" w:rsidRDefault="00080D26" w:rsidP="00AB2E3B">
            <w:pPr>
              <w:autoSpaceDE w:val="0"/>
              <w:autoSpaceDN w:val="0"/>
              <w:adjustRightInd w:val="0"/>
              <w:rPr>
                <w:rFonts w:asciiTheme="majorHAnsi" w:hAnsiTheme="majorHAnsi" w:cs="TimesNewRoman"/>
                <w:szCs w:val="20"/>
                <w:lang w:bidi="ne-NP"/>
              </w:rPr>
            </w:pPr>
            <w:r w:rsidRPr="00080D26">
              <w:rPr>
                <w:rFonts w:asciiTheme="majorHAnsi" w:hAnsiTheme="majorHAnsi"/>
              </w:rPr>
              <w:fldChar w:fldCharType="begin"/>
            </w:r>
            <w:r w:rsidRPr="00080D26">
              <w:rPr>
                <w:rFonts w:asciiTheme="majorHAnsi" w:hAnsiTheme="majorHAnsi"/>
              </w:rPr>
              <w:instrText xml:space="preserve"> MERGEFIELD "Titular_curs" </w:instrText>
            </w:r>
            <w:r w:rsidRPr="00080D26">
              <w:rPr>
                <w:rFonts w:asciiTheme="majorHAnsi" w:hAnsiTheme="majorHAnsi"/>
              </w:rPr>
              <w:fldChar w:fldCharType="separate"/>
            </w:r>
            <w:r w:rsidRPr="00080D26">
              <w:rPr>
                <w:rFonts w:asciiTheme="majorHAnsi" w:hAnsiTheme="majorHAnsi"/>
                <w:noProof/>
              </w:rPr>
              <w:t>Associate Professor Cristina Tărniceriu</w:t>
            </w:r>
            <w:r w:rsidRPr="00080D26">
              <w:rPr>
                <w:rFonts w:asciiTheme="majorHAnsi" w:hAnsiTheme="majorHAnsi"/>
              </w:rPr>
              <w:fldChar w:fldCharType="end"/>
            </w:r>
            <w:r w:rsidRPr="00080D26">
              <w:rPr>
                <w:rFonts w:asciiTheme="majorHAnsi" w:hAnsiTheme="majorHAnsi"/>
              </w:rPr>
              <w:t>, MD, PhD</w:t>
            </w:r>
          </w:p>
        </w:tc>
      </w:tr>
    </w:tbl>
    <w:p w:rsidR="000C7BDB" w:rsidRDefault="000C7BD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CB623B" w:rsidRDefault="00CB623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88630C"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080D26">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80D26" w:rsidRDefault="00080D26" w:rsidP="00080D2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 Daniela-Viorelia Matei, MD, PhD</w:t>
            </w:r>
          </w:p>
          <w:p w:rsidR="000C7BDB" w:rsidRDefault="000C7BDB" w:rsidP="00B21FD5">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4"/>
      <w:headerReference w:type="first" r:id="rId15"/>
      <w:footerReference w:type="first" r:id="rId16"/>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35" w:rsidRDefault="009A0835" w:rsidP="003620AC">
      <w:pPr>
        <w:spacing w:line="240" w:lineRule="auto"/>
      </w:pPr>
      <w:r>
        <w:separator/>
      </w:r>
    </w:p>
  </w:endnote>
  <w:endnote w:type="continuationSeparator" w:id="0">
    <w:p w:rsidR="009A0835" w:rsidRDefault="009A083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23A8A">
                            <w:rPr>
                              <w:noProof/>
                              <w:color w:val="7F7F7F" w:themeColor="text1" w:themeTint="80"/>
                            </w:rPr>
                            <w:t>3</w:t>
                          </w:r>
                          <w:r w:rsidRPr="00A314B1">
                            <w:rPr>
                              <w:color w:val="7F7F7F" w:themeColor="text1" w:themeTint="80"/>
                            </w:rPr>
                            <w:fldChar w:fldCharType="end"/>
                          </w:r>
                          <w:r>
                            <w:t xml:space="preserve"> din </w:t>
                          </w:r>
                          <w:r w:rsidR="009A0835">
                            <w:fldChar w:fldCharType="begin"/>
                          </w:r>
                          <w:r w:rsidR="009A0835">
                            <w:instrText xml:space="preserve"> NUMPAGES   \* MERGEFORMAT </w:instrText>
                          </w:r>
                          <w:r w:rsidR="009A0835">
                            <w:fldChar w:fldCharType="separate"/>
                          </w:r>
                          <w:r w:rsidR="00623A8A">
                            <w:rPr>
                              <w:noProof/>
                            </w:rPr>
                            <w:t>4</w:t>
                          </w:r>
                          <w:r w:rsidR="009A083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23A8A">
                      <w:rPr>
                        <w:noProof/>
                        <w:color w:val="7F7F7F" w:themeColor="text1" w:themeTint="80"/>
                      </w:rPr>
                      <w:t>3</w:t>
                    </w:r>
                    <w:r w:rsidRPr="00A314B1">
                      <w:rPr>
                        <w:color w:val="7F7F7F" w:themeColor="text1" w:themeTint="80"/>
                      </w:rPr>
                      <w:fldChar w:fldCharType="end"/>
                    </w:r>
                    <w:r>
                      <w:t xml:space="preserve"> din </w:t>
                    </w:r>
                    <w:r w:rsidR="009A0835">
                      <w:fldChar w:fldCharType="begin"/>
                    </w:r>
                    <w:r w:rsidR="009A0835">
                      <w:instrText xml:space="preserve"> NUMPAGES   \* MERGEFORMAT </w:instrText>
                    </w:r>
                    <w:r w:rsidR="009A0835">
                      <w:fldChar w:fldCharType="separate"/>
                    </w:r>
                    <w:r w:rsidR="00623A8A">
                      <w:rPr>
                        <w:noProof/>
                      </w:rPr>
                      <w:t>4</w:t>
                    </w:r>
                    <w:r w:rsidR="009A0835">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C7450">
                            <w:rPr>
                              <w:noProof/>
                              <w:color w:val="7F7F7F" w:themeColor="text1" w:themeTint="80"/>
                            </w:rPr>
                            <w:t>1</w:t>
                          </w:r>
                          <w:r w:rsidRPr="00A314B1">
                            <w:rPr>
                              <w:color w:val="7F7F7F" w:themeColor="text1" w:themeTint="80"/>
                            </w:rPr>
                            <w:fldChar w:fldCharType="end"/>
                          </w:r>
                          <w:r>
                            <w:t xml:space="preserve"> din </w:t>
                          </w:r>
                          <w:r w:rsidR="009A0835">
                            <w:fldChar w:fldCharType="begin"/>
                          </w:r>
                          <w:r w:rsidR="009A0835">
                            <w:instrText xml:space="preserve"> NUMPAGES   \* MERGEFORMAT </w:instrText>
                          </w:r>
                          <w:r w:rsidR="009A0835">
                            <w:fldChar w:fldCharType="separate"/>
                          </w:r>
                          <w:r w:rsidR="007C7450">
                            <w:rPr>
                              <w:noProof/>
                            </w:rPr>
                            <w:t>1</w:t>
                          </w:r>
                          <w:r w:rsidR="009A083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C7450">
                      <w:rPr>
                        <w:noProof/>
                        <w:color w:val="7F7F7F" w:themeColor="text1" w:themeTint="80"/>
                      </w:rPr>
                      <w:t>1</w:t>
                    </w:r>
                    <w:r w:rsidRPr="00A314B1">
                      <w:rPr>
                        <w:color w:val="7F7F7F" w:themeColor="text1" w:themeTint="80"/>
                      </w:rPr>
                      <w:fldChar w:fldCharType="end"/>
                    </w:r>
                    <w:r>
                      <w:t xml:space="preserve"> din </w:t>
                    </w:r>
                    <w:r w:rsidR="009A0835">
                      <w:fldChar w:fldCharType="begin"/>
                    </w:r>
                    <w:r w:rsidR="009A0835">
                      <w:instrText xml:space="preserve"> NUMPAGES   \* MERGEFORMAT </w:instrText>
                    </w:r>
                    <w:r w:rsidR="009A0835">
                      <w:fldChar w:fldCharType="separate"/>
                    </w:r>
                    <w:r w:rsidR="007C7450">
                      <w:rPr>
                        <w:noProof/>
                      </w:rPr>
                      <w:t>1</w:t>
                    </w:r>
                    <w:r w:rsidR="009A0835">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35" w:rsidRDefault="009A0835" w:rsidP="003620AC">
      <w:pPr>
        <w:spacing w:line="240" w:lineRule="auto"/>
      </w:pPr>
      <w:r>
        <w:separator/>
      </w:r>
    </w:p>
  </w:footnote>
  <w:footnote w:type="continuationSeparator" w:id="0">
    <w:p w:rsidR="009A0835" w:rsidRDefault="009A083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37F"/>
    <w:multiLevelType w:val="hybridMultilevel"/>
    <w:tmpl w:val="386E6078"/>
    <w:lvl w:ilvl="0" w:tplc="CEC60EF6">
      <w:start w:val="1"/>
      <w:numFmt w:val="decimal"/>
      <w:lvlText w:val="%1."/>
      <w:lvlJc w:val="left"/>
      <w:pPr>
        <w:ind w:left="720" w:hanging="360"/>
      </w:pPr>
      <w:rPr>
        <w:rFonts w:ascii="Calibri" w:hAnsi="Calibri" w:cs="Times New Roman" w:hint="default"/>
        <w:i w:val="0"/>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D0C64"/>
    <w:multiLevelType w:val="hybridMultilevel"/>
    <w:tmpl w:val="2F26213C"/>
    <w:lvl w:ilvl="0" w:tplc="61684EF8">
      <w:start w:val="1"/>
      <w:numFmt w:val="decimal"/>
      <w:lvlText w:val="%1."/>
      <w:lvlJc w:val="left"/>
      <w:pPr>
        <w:ind w:left="900" w:hanging="360"/>
      </w:pPr>
      <w:rPr>
        <w:rFonts w:ascii="Calibri" w:hAnsi="Calibri" w:cs="Times New Roman" w:hint="default"/>
        <w:b w:val="0"/>
        <w:i w:val="0"/>
        <w:color w:val="auto"/>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34222967"/>
    <w:multiLevelType w:val="hybridMultilevel"/>
    <w:tmpl w:val="7124E952"/>
    <w:lvl w:ilvl="0" w:tplc="7D0CCF84">
      <w:start w:val="1"/>
      <w:numFmt w:val="decimal"/>
      <w:lvlText w:val="%1."/>
      <w:lvlJc w:val="left"/>
      <w:pPr>
        <w:ind w:left="720" w:hanging="360"/>
      </w:pPr>
      <w:rPr>
        <w:rFonts w:ascii="Arial" w:hAnsi="Arial" w:hint="default"/>
        <w:color w:val="30303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E57A4A"/>
    <w:multiLevelType w:val="hybridMultilevel"/>
    <w:tmpl w:val="B596D2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1"/>
  </w:num>
  <w:num w:numId="5">
    <w:abstractNumId w:val="7"/>
  </w:num>
  <w:num w:numId="6">
    <w:abstractNumId w:val="6"/>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0D26"/>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84460"/>
    <w:rsid w:val="00285EF1"/>
    <w:rsid w:val="0028695D"/>
    <w:rsid w:val="00290F76"/>
    <w:rsid w:val="002941DB"/>
    <w:rsid w:val="002943B2"/>
    <w:rsid w:val="00297011"/>
    <w:rsid w:val="00297D1A"/>
    <w:rsid w:val="002A1D57"/>
    <w:rsid w:val="002A5571"/>
    <w:rsid w:val="002C210E"/>
    <w:rsid w:val="002E40E0"/>
    <w:rsid w:val="002E5960"/>
    <w:rsid w:val="00303D07"/>
    <w:rsid w:val="003102DE"/>
    <w:rsid w:val="00314DEB"/>
    <w:rsid w:val="00320C4F"/>
    <w:rsid w:val="00323938"/>
    <w:rsid w:val="00323CAB"/>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4FDC"/>
    <w:rsid w:val="003C5702"/>
    <w:rsid w:val="003D1099"/>
    <w:rsid w:val="003D5723"/>
    <w:rsid w:val="003F6145"/>
    <w:rsid w:val="004058B9"/>
    <w:rsid w:val="00416344"/>
    <w:rsid w:val="00424AB0"/>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D45BC"/>
    <w:rsid w:val="004F1160"/>
    <w:rsid w:val="004F4D8F"/>
    <w:rsid w:val="004F7D77"/>
    <w:rsid w:val="005013D1"/>
    <w:rsid w:val="00502649"/>
    <w:rsid w:val="00505884"/>
    <w:rsid w:val="005258C3"/>
    <w:rsid w:val="0052621D"/>
    <w:rsid w:val="00530019"/>
    <w:rsid w:val="00547602"/>
    <w:rsid w:val="00561127"/>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3A8A"/>
    <w:rsid w:val="00624DE6"/>
    <w:rsid w:val="00627328"/>
    <w:rsid w:val="00632ECA"/>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C7450"/>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8630C"/>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001D"/>
    <w:rsid w:val="009821D2"/>
    <w:rsid w:val="00984233"/>
    <w:rsid w:val="009847B3"/>
    <w:rsid w:val="009913C8"/>
    <w:rsid w:val="00992202"/>
    <w:rsid w:val="00992224"/>
    <w:rsid w:val="009930DA"/>
    <w:rsid w:val="00993891"/>
    <w:rsid w:val="009A0835"/>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67903"/>
    <w:rsid w:val="00A808E1"/>
    <w:rsid w:val="00A85CED"/>
    <w:rsid w:val="00AA110C"/>
    <w:rsid w:val="00AA1A01"/>
    <w:rsid w:val="00AA485A"/>
    <w:rsid w:val="00AB2E3B"/>
    <w:rsid w:val="00AB3C3F"/>
    <w:rsid w:val="00AB52C0"/>
    <w:rsid w:val="00AB6940"/>
    <w:rsid w:val="00AD3B62"/>
    <w:rsid w:val="00AD79E0"/>
    <w:rsid w:val="00AF084E"/>
    <w:rsid w:val="00B020FE"/>
    <w:rsid w:val="00B04CE9"/>
    <w:rsid w:val="00B06C26"/>
    <w:rsid w:val="00B13148"/>
    <w:rsid w:val="00B21FD5"/>
    <w:rsid w:val="00B31065"/>
    <w:rsid w:val="00B3395E"/>
    <w:rsid w:val="00B406B1"/>
    <w:rsid w:val="00B55609"/>
    <w:rsid w:val="00B70B7A"/>
    <w:rsid w:val="00B71C33"/>
    <w:rsid w:val="00B85535"/>
    <w:rsid w:val="00BA3651"/>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564EF"/>
    <w:rsid w:val="00C71699"/>
    <w:rsid w:val="00C77658"/>
    <w:rsid w:val="00C77790"/>
    <w:rsid w:val="00C828BC"/>
    <w:rsid w:val="00C84F40"/>
    <w:rsid w:val="00C85D28"/>
    <w:rsid w:val="00CA6A95"/>
    <w:rsid w:val="00CA79C9"/>
    <w:rsid w:val="00CB623B"/>
    <w:rsid w:val="00CC50A6"/>
    <w:rsid w:val="00CD7ED0"/>
    <w:rsid w:val="00CE45F1"/>
    <w:rsid w:val="00CE5918"/>
    <w:rsid w:val="00CE5CF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F00DF"/>
    <w:rsid w:val="00F03EC9"/>
    <w:rsid w:val="00F10704"/>
    <w:rsid w:val="00F14E7E"/>
    <w:rsid w:val="00F207A3"/>
    <w:rsid w:val="00F25D0D"/>
    <w:rsid w:val="00F51AE9"/>
    <w:rsid w:val="00F51B73"/>
    <w:rsid w:val="00F722E0"/>
    <w:rsid w:val="00F81A4E"/>
    <w:rsid w:val="00F969D6"/>
    <w:rsid w:val="00FB3260"/>
    <w:rsid w:val="00FC6FB1"/>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customStyle="1" w:styleId="ListParagraph1">
    <w:name w:val="List Paragraph1"/>
    <w:basedOn w:val="Normal"/>
    <w:rsid w:val="003C4FDC"/>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customStyle="1" w:styleId="ListParagraph1">
    <w:name w:val="List Paragraph1"/>
    <w:basedOn w:val="Normal"/>
    <w:rsid w:val="003C4FDC"/>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986">
      <w:bodyDiv w:val="1"/>
      <w:marLeft w:val="0"/>
      <w:marRight w:val="0"/>
      <w:marTop w:val="0"/>
      <w:marBottom w:val="0"/>
      <w:divBdr>
        <w:top w:val="none" w:sz="0" w:space="0" w:color="auto"/>
        <w:left w:val="none" w:sz="0" w:space="0" w:color="auto"/>
        <w:bottom w:val="none" w:sz="0" w:space="0" w:color="auto"/>
        <w:right w:val="none" w:sz="0" w:space="0" w:color="auto"/>
      </w:divBdr>
    </w:div>
    <w:div w:id="910694302">
      <w:bodyDiv w:val="1"/>
      <w:marLeft w:val="0"/>
      <w:marRight w:val="0"/>
      <w:marTop w:val="0"/>
      <w:marBottom w:val="0"/>
      <w:divBdr>
        <w:top w:val="none" w:sz="0" w:space="0" w:color="auto"/>
        <w:left w:val="none" w:sz="0" w:space="0" w:color="auto"/>
        <w:bottom w:val="none" w:sz="0" w:space="0" w:color="auto"/>
        <w:right w:val="none" w:sz="0" w:space="0" w:color="auto"/>
      </w:divBdr>
    </w:div>
    <w:div w:id="9388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IMMED-01\Desktop\FD%20primite\HIPER%20LINK\Carti\Carte%20Terapia%20durerii_Magda%20Leon.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SIMMED-01\Desktop\FD%20primite\HIPER%20LINK\Carti\Carte%20PEPN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0B07BA"/>
    <w:rsid w:val="00160EC3"/>
    <w:rsid w:val="00380F4D"/>
    <w:rsid w:val="00404E09"/>
    <w:rsid w:val="00412D96"/>
    <w:rsid w:val="005323FE"/>
    <w:rsid w:val="005C0F5E"/>
    <w:rsid w:val="007503BC"/>
    <w:rsid w:val="007C4169"/>
    <w:rsid w:val="007D5A13"/>
    <w:rsid w:val="008102EE"/>
    <w:rsid w:val="00936945"/>
    <w:rsid w:val="009515A7"/>
    <w:rsid w:val="00A97D36"/>
    <w:rsid w:val="00AE1BBD"/>
    <w:rsid w:val="00C76C48"/>
    <w:rsid w:val="00CA76D7"/>
    <w:rsid w:val="00D238E5"/>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MACCJ7WAEWV6-565203097-521</_dlc_DocId>
    <_dlc_DocIdUrl xmlns="4c155583-69f9-458b-843e-56574a4bdc09">
      <Url>https://www.umfiasi.ro/ro/academic/facultati/bioinginerie-medicala/_layouts/15/DocIdRedir.aspx?ID=MACCJ7WAEWV6-565203097-521</Url>
      <Description>MACCJ7WAEWV6-565203097-521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7B4-888E-4199-A3CA-4E6D7105B6B0}"/>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E5AFF63D-402B-486F-821E-BCC7F94923A5}"/>
</file>

<file path=customXml/itemProps5.xml><?xml version="1.0" encoding="utf-8"?>
<ds:datastoreItem xmlns:ds="http://schemas.openxmlformats.org/officeDocument/2006/customXml" ds:itemID="{B7ED73F3-4D2A-4A2F-8F80-C5E21DDDE2A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7737</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2023-12-05T07:21:00Z</dcterms:created>
  <dcterms:modified xsi:type="dcterms:W3CDTF">2023-12-05T07:21:00Z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fe9761bb-5b01-43c1-adf6-4521436719bd</vt:lpwstr>
  </property>
</Properties>
</file>